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254DDF" w14:textId="0BC9A5E4" w:rsidR="000D2734" w:rsidRPr="000D2734" w:rsidRDefault="003C3AB4" w:rsidP="000D2734">
      <w:pPr>
        <w:jc w:val="both"/>
        <w:rPr>
          <w:sz w:val="24"/>
          <w:szCs w:val="24"/>
        </w:rPr>
      </w:pPr>
      <w:r>
        <w:rPr>
          <w:sz w:val="24"/>
          <w:szCs w:val="24"/>
        </w:rPr>
        <w:t>D</w:t>
      </w:r>
      <w:r w:rsidR="000D2734" w:rsidRPr="000D2734">
        <w:rPr>
          <w:sz w:val="24"/>
          <w:szCs w:val="24"/>
        </w:rPr>
        <w:t xml:space="preserve">e acuerdo con el Art. 36.2.3 de El Reglamento Técnico de Instalaciones Eléctricas, RETIE, el servicio de energía para las instalaciones provisionales, quedará condicionado a que se establezca un </w:t>
      </w:r>
      <w:r w:rsidR="000D2734" w:rsidRPr="00327782">
        <w:rPr>
          <w:i/>
          <w:sz w:val="24"/>
          <w:szCs w:val="24"/>
        </w:rPr>
        <w:t>Procedimiento Escrito de Control de los Riesgos Eléctricos de dicha instalación</w:t>
      </w:r>
      <w:r w:rsidR="000D2734" w:rsidRPr="000D2734">
        <w:rPr>
          <w:sz w:val="24"/>
          <w:szCs w:val="24"/>
        </w:rPr>
        <w:t xml:space="preserve"> y </w:t>
      </w:r>
      <w:r w:rsidR="00327782">
        <w:rPr>
          <w:sz w:val="24"/>
          <w:szCs w:val="24"/>
        </w:rPr>
        <w:t xml:space="preserve">a </w:t>
      </w:r>
      <w:r w:rsidR="000D2734" w:rsidRPr="000D2734">
        <w:rPr>
          <w:sz w:val="24"/>
          <w:szCs w:val="24"/>
        </w:rPr>
        <w:t>que una persona calificada se responsabilice del cumplimiento del mismo durante el tiempo de existencia de esa instalación.</w:t>
      </w:r>
    </w:p>
    <w:p w14:paraId="4D29498A" w14:textId="690A08BE" w:rsidR="000D2734" w:rsidRPr="000D2734" w:rsidRDefault="000D2734" w:rsidP="000D2734">
      <w:pPr>
        <w:jc w:val="both"/>
        <w:rPr>
          <w:sz w:val="24"/>
          <w:szCs w:val="24"/>
        </w:rPr>
      </w:pPr>
      <w:r w:rsidRPr="000D2734">
        <w:rPr>
          <w:sz w:val="24"/>
          <w:szCs w:val="24"/>
        </w:rPr>
        <w:t xml:space="preserve">Por esa razón, </w:t>
      </w:r>
      <w:r w:rsidR="00E47D12">
        <w:rPr>
          <w:sz w:val="24"/>
          <w:szCs w:val="24"/>
        </w:rPr>
        <w:t xml:space="preserve">EPM </w:t>
      </w:r>
      <w:r w:rsidRPr="000D2734">
        <w:rPr>
          <w:sz w:val="24"/>
          <w:szCs w:val="24"/>
        </w:rPr>
        <w:t xml:space="preserve">elabora este documento </w:t>
      </w:r>
      <w:r w:rsidR="00E47D12">
        <w:rPr>
          <w:sz w:val="24"/>
          <w:szCs w:val="24"/>
        </w:rPr>
        <w:t xml:space="preserve">con </w:t>
      </w:r>
      <w:r w:rsidR="00E47D12" w:rsidRPr="00E47D12">
        <w:rPr>
          <w:b/>
          <w:sz w:val="28"/>
          <w:szCs w:val="24"/>
        </w:rPr>
        <w:t>carácter sugerido</w:t>
      </w:r>
      <w:r w:rsidR="00E47D12">
        <w:rPr>
          <w:b/>
          <w:sz w:val="24"/>
          <w:szCs w:val="24"/>
        </w:rPr>
        <w:t xml:space="preserve">, </w:t>
      </w:r>
      <w:r w:rsidRPr="000D2734">
        <w:rPr>
          <w:sz w:val="24"/>
          <w:szCs w:val="24"/>
        </w:rPr>
        <w:t xml:space="preserve">en el que se resumen las </w:t>
      </w:r>
      <w:r w:rsidR="005E3240" w:rsidRPr="000D2734">
        <w:rPr>
          <w:sz w:val="24"/>
          <w:szCs w:val="24"/>
        </w:rPr>
        <w:t>prácticas de</w:t>
      </w:r>
      <w:r w:rsidRPr="000D2734">
        <w:rPr>
          <w:sz w:val="24"/>
          <w:szCs w:val="24"/>
        </w:rPr>
        <w:t xml:space="preserve"> seguridad que deben implementarse para eliminar los riesgos de origen eléctrico, tendientes a garantizar la seguridad de las personas y del medio ambiente que resulten afectados por las instalaciones y equipos eléctricos conectados durante el tiempo que dure la ejecución del servicio provisional.</w:t>
      </w:r>
      <w:r w:rsidR="00E47D12">
        <w:rPr>
          <w:sz w:val="24"/>
          <w:szCs w:val="24"/>
        </w:rPr>
        <w:t xml:space="preserve"> Es importante resaltar que este documento es una guía que pretende ilustrar a los profesionales en electrotecnia, responsables de la construcción de la instalación eléctrica que se pretende energizar y deberá ser, dicha persona, quien evalúe los riesgos adicionales que deberá mitigar y que al no estar consignados en este documento, deberán ser adicionados dando como resultado los riesgos totales que se deberán mitigar, de acuerdo con las características individuales de la instalación eléctrica provisional que se pretende energizar.</w:t>
      </w:r>
    </w:p>
    <w:p w14:paraId="43F711B1" w14:textId="00F89DDF" w:rsidR="000D2734" w:rsidRPr="000D2734" w:rsidRDefault="000D2734" w:rsidP="000D2734">
      <w:pPr>
        <w:jc w:val="both"/>
        <w:rPr>
          <w:sz w:val="24"/>
          <w:szCs w:val="24"/>
        </w:rPr>
      </w:pPr>
      <w:r w:rsidRPr="000D2734">
        <w:rPr>
          <w:sz w:val="24"/>
          <w:szCs w:val="24"/>
        </w:rPr>
        <w:t>Lo primero</w:t>
      </w:r>
      <w:r w:rsidR="00327782">
        <w:rPr>
          <w:sz w:val="24"/>
          <w:szCs w:val="24"/>
        </w:rPr>
        <w:t>,</w:t>
      </w:r>
      <w:r w:rsidRPr="000D2734">
        <w:rPr>
          <w:sz w:val="24"/>
          <w:szCs w:val="24"/>
        </w:rPr>
        <w:t xml:space="preserve"> y más importante</w:t>
      </w:r>
      <w:r w:rsidR="00327782">
        <w:rPr>
          <w:sz w:val="24"/>
          <w:szCs w:val="24"/>
        </w:rPr>
        <w:t>,</w:t>
      </w:r>
      <w:r w:rsidRPr="000D2734">
        <w:rPr>
          <w:sz w:val="24"/>
          <w:szCs w:val="24"/>
        </w:rPr>
        <w:t xml:space="preserve"> es designar una persona que asuma la responsabilidad de que todos los usuarios cumplan las recomendaciones de este documento. Esta persona debe ser entrenada en identificar y eliminar todos los riesgos eléctricos que aparezcan durante las rutinas diarias de conexión y desconexión de equipos, así como de instruir a los usuarios en las prácticas de revisión de las extensiones y los equipos que  operen.  La persona debe ser un profesional en electrotecnia (Ingenier</w:t>
      </w:r>
      <w:r w:rsidR="005E3240">
        <w:rPr>
          <w:sz w:val="24"/>
          <w:szCs w:val="24"/>
        </w:rPr>
        <w:t>o</w:t>
      </w:r>
      <w:r w:rsidRPr="000D2734">
        <w:rPr>
          <w:sz w:val="24"/>
          <w:szCs w:val="24"/>
        </w:rPr>
        <w:t xml:space="preserve"> electricista, técnico o </w:t>
      </w:r>
      <w:r w:rsidR="005E3240">
        <w:rPr>
          <w:sz w:val="24"/>
          <w:szCs w:val="24"/>
        </w:rPr>
        <w:t>electromecánico)</w:t>
      </w:r>
      <w:r w:rsidRPr="000D2734">
        <w:rPr>
          <w:sz w:val="24"/>
          <w:szCs w:val="24"/>
        </w:rPr>
        <w:t>, que haya recibido la capacitación y entrenamiento necesario, y posea matricula que lo acredite.</w:t>
      </w:r>
    </w:p>
    <w:p w14:paraId="786E95FA" w14:textId="77777777" w:rsidR="000D2734" w:rsidRPr="000D2734" w:rsidRDefault="000D2734" w:rsidP="000D2734">
      <w:pPr>
        <w:jc w:val="both"/>
        <w:rPr>
          <w:sz w:val="24"/>
          <w:szCs w:val="24"/>
        </w:rPr>
      </w:pPr>
      <w:r w:rsidRPr="000D2734">
        <w:rPr>
          <w:sz w:val="24"/>
          <w:szCs w:val="24"/>
        </w:rPr>
        <w:t>A continuación hacemos un resumen de las rutinas más comunes que se deben practicar por todos los usuarios de las instalaciones provisionales:</w:t>
      </w:r>
    </w:p>
    <w:p w14:paraId="457CA07D" w14:textId="77777777" w:rsidR="000D2734" w:rsidRPr="000D2734" w:rsidRDefault="000D2734" w:rsidP="000D2734">
      <w:pPr>
        <w:jc w:val="both"/>
        <w:rPr>
          <w:sz w:val="24"/>
          <w:szCs w:val="24"/>
        </w:rPr>
      </w:pPr>
      <w:r w:rsidRPr="000D2734">
        <w:rPr>
          <w:sz w:val="24"/>
          <w:szCs w:val="24"/>
        </w:rPr>
        <w:t>1.</w:t>
      </w:r>
      <w:r w:rsidRPr="000D2734">
        <w:rPr>
          <w:sz w:val="24"/>
          <w:szCs w:val="24"/>
        </w:rPr>
        <w:tab/>
        <w:t>Se considerará siempre que todo el equipo y líneas eléctricas tienen tensión, hasta haber comprobado lo contrario.</w:t>
      </w:r>
    </w:p>
    <w:p w14:paraId="5925C13D" w14:textId="77777777" w:rsidR="000D2734" w:rsidRPr="000D2734" w:rsidRDefault="000D2734" w:rsidP="000D2734">
      <w:pPr>
        <w:jc w:val="both"/>
        <w:rPr>
          <w:sz w:val="24"/>
          <w:szCs w:val="24"/>
        </w:rPr>
      </w:pPr>
      <w:r w:rsidRPr="000D2734">
        <w:rPr>
          <w:sz w:val="24"/>
          <w:szCs w:val="24"/>
        </w:rPr>
        <w:t>2.</w:t>
      </w:r>
      <w:r w:rsidRPr="000D2734">
        <w:rPr>
          <w:sz w:val="24"/>
          <w:szCs w:val="24"/>
        </w:rPr>
        <w:tab/>
        <w:t>La persona que opere o manipule la instalación eléctrica debe conocer la ubicación del interruptor principal de la instalación y de los medios más rápidos de desconexión de la zona donde trabaja, por si se requiere en una emergencia.</w:t>
      </w:r>
    </w:p>
    <w:p w14:paraId="1873153C" w14:textId="77777777" w:rsidR="000D2734" w:rsidRPr="000D2734" w:rsidRDefault="000D2734" w:rsidP="000D2734">
      <w:pPr>
        <w:jc w:val="both"/>
        <w:rPr>
          <w:sz w:val="24"/>
          <w:szCs w:val="24"/>
        </w:rPr>
      </w:pPr>
      <w:r w:rsidRPr="000D2734">
        <w:rPr>
          <w:sz w:val="24"/>
          <w:szCs w:val="24"/>
        </w:rPr>
        <w:t>3.</w:t>
      </w:r>
      <w:r w:rsidRPr="000D2734">
        <w:rPr>
          <w:sz w:val="24"/>
          <w:szCs w:val="24"/>
        </w:rPr>
        <w:tab/>
        <w:t>Se verificará que esté correcta la conexión a tierra siempre que se conecte o desconecte un equipo.</w:t>
      </w:r>
    </w:p>
    <w:p w14:paraId="12024AA2" w14:textId="77777777" w:rsidR="000D2734" w:rsidRPr="000D2734" w:rsidRDefault="000D2734" w:rsidP="000D2734">
      <w:pPr>
        <w:jc w:val="both"/>
        <w:rPr>
          <w:sz w:val="24"/>
          <w:szCs w:val="24"/>
        </w:rPr>
      </w:pPr>
      <w:r w:rsidRPr="000D2734">
        <w:rPr>
          <w:sz w:val="24"/>
          <w:szCs w:val="24"/>
        </w:rPr>
        <w:t>4.</w:t>
      </w:r>
      <w:r w:rsidRPr="000D2734">
        <w:rPr>
          <w:sz w:val="24"/>
          <w:szCs w:val="24"/>
        </w:rPr>
        <w:tab/>
        <w:t>La persona debe asegurarse que ha dejado perfectamente aislado el equipo o máquina cuando termine un trabajo.</w:t>
      </w:r>
    </w:p>
    <w:p w14:paraId="7CF5E64A" w14:textId="77777777" w:rsidR="000D2734" w:rsidRPr="000D2734" w:rsidRDefault="000D2734" w:rsidP="000D2734">
      <w:pPr>
        <w:jc w:val="both"/>
        <w:rPr>
          <w:sz w:val="24"/>
          <w:szCs w:val="24"/>
        </w:rPr>
      </w:pPr>
      <w:r w:rsidRPr="000D2734">
        <w:rPr>
          <w:sz w:val="24"/>
          <w:szCs w:val="24"/>
        </w:rPr>
        <w:t>5.</w:t>
      </w:r>
      <w:r w:rsidRPr="000D2734">
        <w:rPr>
          <w:sz w:val="24"/>
          <w:szCs w:val="24"/>
        </w:rPr>
        <w:tab/>
        <w:t>Nunca deben quedar cajas de conexiones o tableros destapados.</w:t>
      </w:r>
    </w:p>
    <w:p w14:paraId="0090A2FE" w14:textId="77777777" w:rsidR="000D2734" w:rsidRPr="000D2734" w:rsidRDefault="000D2734" w:rsidP="000D2734">
      <w:pPr>
        <w:jc w:val="both"/>
        <w:rPr>
          <w:sz w:val="24"/>
          <w:szCs w:val="24"/>
        </w:rPr>
      </w:pPr>
      <w:r w:rsidRPr="000D2734">
        <w:rPr>
          <w:sz w:val="24"/>
          <w:szCs w:val="24"/>
        </w:rPr>
        <w:lastRenderedPageBreak/>
        <w:t>6.</w:t>
      </w:r>
      <w:r w:rsidRPr="000D2734">
        <w:rPr>
          <w:sz w:val="24"/>
          <w:szCs w:val="24"/>
        </w:rPr>
        <w:tab/>
        <w:t>Las extensiones deberán ser de doble aislamiento y deberán estar en perfecto estado de conservación. No se admitirán cables con roturas en su aislamiento.</w:t>
      </w:r>
    </w:p>
    <w:p w14:paraId="47C9925C" w14:textId="77777777" w:rsidR="000D2734" w:rsidRPr="000D2734" w:rsidRDefault="000D2734" w:rsidP="000D2734">
      <w:pPr>
        <w:jc w:val="both"/>
        <w:rPr>
          <w:sz w:val="24"/>
          <w:szCs w:val="24"/>
        </w:rPr>
      </w:pPr>
      <w:r w:rsidRPr="000D2734">
        <w:rPr>
          <w:sz w:val="24"/>
          <w:szCs w:val="24"/>
        </w:rPr>
        <w:t>7.</w:t>
      </w:r>
      <w:r w:rsidRPr="000D2734">
        <w:rPr>
          <w:sz w:val="24"/>
          <w:szCs w:val="24"/>
        </w:rPr>
        <w:tab/>
        <w:t>Las herramientas eléctricas portátiles deberán tener los cables en perfectas condiciones y contar con sus correspondientes tomacorrientes GFCI y cables con línea de puesta a tierra (en caso de no existir protección general de falla a tierra).</w:t>
      </w:r>
    </w:p>
    <w:p w14:paraId="1B00B415" w14:textId="77777777" w:rsidR="000D2734" w:rsidRPr="000D2734" w:rsidRDefault="000D2734" w:rsidP="000D2734">
      <w:pPr>
        <w:jc w:val="both"/>
        <w:rPr>
          <w:sz w:val="24"/>
          <w:szCs w:val="24"/>
        </w:rPr>
      </w:pPr>
      <w:r w:rsidRPr="000D2734">
        <w:rPr>
          <w:sz w:val="24"/>
          <w:szCs w:val="24"/>
        </w:rPr>
        <w:t>8.</w:t>
      </w:r>
      <w:r w:rsidRPr="000D2734">
        <w:rPr>
          <w:sz w:val="24"/>
          <w:szCs w:val="24"/>
        </w:rPr>
        <w:tab/>
        <w:t>Cada sector de trabajo contará con un tablero o caja de distribución de energía de capacidad adecuada montado sobre un soporte estable (no se admite madera). Este contará con puesta a tierra y protecciones adecuadas.</w:t>
      </w:r>
    </w:p>
    <w:p w14:paraId="050954B6" w14:textId="77777777" w:rsidR="000D2734" w:rsidRPr="000D2734" w:rsidRDefault="000D2734" w:rsidP="000D2734">
      <w:pPr>
        <w:jc w:val="both"/>
        <w:rPr>
          <w:sz w:val="24"/>
          <w:szCs w:val="24"/>
        </w:rPr>
      </w:pPr>
      <w:r w:rsidRPr="000D2734">
        <w:rPr>
          <w:sz w:val="24"/>
          <w:szCs w:val="24"/>
        </w:rPr>
        <w:t>9.</w:t>
      </w:r>
      <w:r w:rsidRPr="000D2734">
        <w:rPr>
          <w:sz w:val="24"/>
          <w:szCs w:val="24"/>
        </w:rPr>
        <w:tab/>
        <w:t>Toda modificación y ampliación de la instalación eléctrica debe ser autorizada por la persona responsable de la misma.</w:t>
      </w:r>
    </w:p>
    <w:p w14:paraId="52037DBE" w14:textId="77777777" w:rsidR="000D2734" w:rsidRPr="000D2734" w:rsidRDefault="000D2734" w:rsidP="000D2734">
      <w:pPr>
        <w:jc w:val="both"/>
        <w:rPr>
          <w:sz w:val="24"/>
          <w:szCs w:val="24"/>
        </w:rPr>
      </w:pPr>
      <w:r w:rsidRPr="000D2734">
        <w:rPr>
          <w:sz w:val="24"/>
          <w:szCs w:val="24"/>
        </w:rPr>
        <w:t>10.</w:t>
      </w:r>
      <w:r w:rsidRPr="000D2734">
        <w:rPr>
          <w:sz w:val="24"/>
          <w:szCs w:val="24"/>
        </w:rPr>
        <w:tab/>
        <w:t>Está prohibido el uso de artefactos eléctricos defectuosos.</w:t>
      </w:r>
    </w:p>
    <w:p w14:paraId="6AFBC1A1" w14:textId="77777777" w:rsidR="000D2734" w:rsidRPr="000D2734" w:rsidRDefault="000D2734" w:rsidP="000D2734">
      <w:pPr>
        <w:jc w:val="both"/>
        <w:rPr>
          <w:sz w:val="24"/>
          <w:szCs w:val="24"/>
        </w:rPr>
      </w:pPr>
      <w:r w:rsidRPr="000D2734">
        <w:rPr>
          <w:sz w:val="24"/>
          <w:szCs w:val="24"/>
        </w:rPr>
        <w:t>11.</w:t>
      </w:r>
      <w:r w:rsidRPr="000D2734">
        <w:rPr>
          <w:sz w:val="24"/>
          <w:szCs w:val="24"/>
        </w:rPr>
        <w:tab/>
        <w:t>Todo equipo eléctrico debe tener conexión a tierra.</w:t>
      </w:r>
    </w:p>
    <w:p w14:paraId="574034FF" w14:textId="77777777" w:rsidR="000D2734" w:rsidRPr="000D2734" w:rsidRDefault="000D2734" w:rsidP="000D2734">
      <w:pPr>
        <w:jc w:val="both"/>
        <w:rPr>
          <w:sz w:val="24"/>
          <w:szCs w:val="24"/>
        </w:rPr>
      </w:pPr>
      <w:r w:rsidRPr="000D2734">
        <w:rPr>
          <w:sz w:val="24"/>
          <w:szCs w:val="24"/>
        </w:rPr>
        <w:t>12.</w:t>
      </w:r>
      <w:r w:rsidRPr="000D2734">
        <w:rPr>
          <w:sz w:val="24"/>
          <w:szCs w:val="24"/>
        </w:rPr>
        <w:tab/>
        <w:t xml:space="preserve">Las extensiones o redes provisionales deben ser construidas con cable de uso pesado o </w:t>
      </w:r>
      <w:r w:rsidR="00515ADC" w:rsidRPr="000D2734">
        <w:rPr>
          <w:sz w:val="24"/>
          <w:szCs w:val="24"/>
        </w:rPr>
        <w:t>extra pesado</w:t>
      </w:r>
      <w:r w:rsidRPr="000D2734">
        <w:rPr>
          <w:sz w:val="24"/>
          <w:szCs w:val="24"/>
        </w:rPr>
        <w:t>, (encauchetado SJ, SO o ST) de un calibre adecuado para la carga que se va a alimentar y que incluya conductor de puesta a tierra de equipos. No se aceptan los cables tipo SP (dúplex)</w:t>
      </w:r>
      <w:r w:rsidR="00515ADC">
        <w:rPr>
          <w:sz w:val="24"/>
          <w:szCs w:val="24"/>
        </w:rPr>
        <w:t>.</w:t>
      </w:r>
      <w:r w:rsidRPr="000D2734">
        <w:rPr>
          <w:sz w:val="24"/>
          <w:szCs w:val="24"/>
        </w:rPr>
        <w:t xml:space="preserve"> </w:t>
      </w:r>
    </w:p>
    <w:p w14:paraId="553E100C" w14:textId="77777777" w:rsidR="000D2734" w:rsidRPr="000D2734" w:rsidRDefault="000D2734" w:rsidP="000D2734">
      <w:pPr>
        <w:jc w:val="both"/>
        <w:rPr>
          <w:sz w:val="24"/>
          <w:szCs w:val="24"/>
        </w:rPr>
      </w:pPr>
      <w:r w:rsidRPr="000D2734">
        <w:rPr>
          <w:sz w:val="24"/>
          <w:szCs w:val="24"/>
        </w:rPr>
        <w:t>13.</w:t>
      </w:r>
      <w:r w:rsidRPr="000D2734">
        <w:rPr>
          <w:sz w:val="24"/>
          <w:szCs w:val="24"/>
        </w:rPr>
        <w:tab/>
        <w:t>Al retirarse del área de trabajo, las personas deben revisar y apagar los equipos eléctricos.</w:t>
      </w:r>
    </w:p>
    <w:p w14:paraId="48FA8E66" w14:textId="77777777" w:rsidR="000D2734" w:rsidRPr="000D2734" w:rsidRDefault="000D2734" w:rsidP="000D2734">
      <w:pPr>
        <w:jc w:val="both"/>
        <w:rPr>
          <w:sz w:val="24"/>
          <w:szCs w:val="24"/>
        </w:rPr>
      </w:pPr>
      <w:r w:rsidRPr="000D2734">
        <w:rPr>
          <w:sz w:val="24"/>
          <w:szCs w:val="24"/>
        </w:rPr>
        <w:t>14.</w:t>
      </w:r>
      <w:r w:rsidRPr="000D2734">
        <w:rPr>
          <w:sz w:val="24"/>
          <w:szCs w:val="24"/>
        </w:rPr>
        <w:tab/>
        <w:t xml:space="preserve">Todas las bombillas, exceptuando los leds, para alumbrado deben estar protegidas contra contactos accidentales o roturas. Se recomienda </w:t>
      </w:r>
      <w:r w:rsidR="00515ADC">
        <w:rPr>
          <w:sz w:val="24"/>
          <w:szCs w:val="24"/>
        </w:rPr>
        <w:t xml:space="preserve">usar </w:t>
      </w:r>
      <w:r w:rsidR="00515ADC" w:rsidRPr="000D2734">
        <w:rPr>
          <w:sz w:val="24"/>
          <w:szCs w:val="24"/>
        </w:rPr>
        <w:t>porta bombillas</w:t>
      </w:r>
      <w:r w:rsidRPr="000D2734">
        <w:rPr>
          <w:sz w:val="24"/>
          <w:szCs w:val="24"/>
        </w:rPr>
        <w:t xml:space="preserve"> con protector.</w:t>
      </w:r>
    </w:p>
    <w:p w14:paraId="4F35CA6D" w14:textId="77777777" w:rsidR="000D2734" w:rsidRPr="000D2734" w:rsidRDefault="000D2734" w:rsidP="000D2734">
      <w:pPr>
        <w:jc w:val="both"/>
        <w:rPr>
          <w:sz w:val="24"/>
          <w:szCs w:val="24"/>
        </w:rPr>
      </w:pPr>
      <w:r w:rsidRPr="000D2734">
        <w:rPr>
          <w:sz w:val="24"/>
          <w:szCs w:val="24"/>
        </w:rPr>
        <w:t>15.</w:t>
      </w:r>
      <w:r w:rsidRPr="000D2734">
        <w:rPr>
          <w:sz w:val="24"/>
          <w:szCs w:val="24"/>
        </w:rPr>
        <w:tab/>
        <w:t xml:space="preserve">Los </w:t>
      </w:r>
      <w:r w:rsidR="00515ADC" w:rsidRPr="000D2734">
        <w:rPr>
          <w:sz w:val="24"/>
          <w:szCs w:val="24"/>
        </w:rPr>
        <w:t>porta bombillas</w:t>
      </w:r>
      <w:r w:rsidRPr="000D2734">
        <w:rPr>
          <w:sz w:val="24"/>
          <w:szCs w:val="24"/>
        </w:rPr>
        <w:t xml:space="preserve"> deben conectarse a tierra si son metálicos. Se recomienda la utilización de los no metálicos.</w:t>
      </w:r>
    </w:p>
    <w:p w14:paraId="5DA39C99" w14:textId="77777777" w:rsidR="000D2734" w:rsidRPr="000D2734" w:rsidRDefault="000D2734" w:rsidP="000D2734">
      <w:pPr>
        <w:jc w:val="both"/>
        <w:rPr>
          <w:sz w:val="24"/>
          <w:szCs w:val="24"/>
        </w:rPr>
      </w:pPr>
      <w:r w:rsidRPr="000D2734">
        <w:rPr>
          <w:sz w:val="24"/>
          <w:szCs w:val="24"/>
        </w:rPr>
        <w:t>16.</w:t>
      </w:r>
      <w:r w:rsidRPr="000D2734">
        <w:rPr>
          <w:sz w:val="24"/>
          <w:szCs w:val="24"/>
        </w:rPr>
        <w:tab/>
        <w:t>Los cables se deben proteger contra daños accidentales. Y los cables que entren y salgan de cajas o tableros con terminaciones, se deben sujetar a la caja con herrajes diseñados para ese uso.</w:t>
      </w:r>
    </w:p>
    <w:p w14:paraId="68BB9416" w14:textId="77777777" w:rsidR="000D2734" w:rsidRPr="000D2734" w:rsidRDefault="000D2734" w:rsidP="000D2734">
      <w:pPr>
        <w:jc w:val="both"/>
        <w:rPr>
          <w:sz w:val="24"/>
          <w:szCs w:val="24"/>
        </w:rPr>
      </w:pPr>
      <w:r w:rsidRPr="000D2734">
        <w:rPr>
          <w:sz w:val="24"/>
          <w:szCs w:val="24"/>
        </w:rPr>
        <w:t>17.</w:t>
      </w:r>
      <w:r w:rsidRPr="000D2734">
        <w:rPr>
          <w:sz w:val="24"/>
          <w:szCs w:val="24"/>
        </w:rPr>
        <w:tab/>
        <w:t xml:space="preserve">Todas las personas que estén en contacto con las instalaciones provisionales se deben proteger contra fallas a tierra, preferiblemente por medio de tomas con protección GFCI. </w:t>
      </w:r>
    </w:p>
    <w:p w14:paraId="7F2D0F84" w14:textId="3080F791" w:rsidR="000D2734" w:rsidRPr="000D2734" w:rsidRDefault="000D2734" w:rsidP="000D2734">
      <w:pPr>
        <w:jc w:val="both"/>
        <w:rPr>
          <w:sz w:val="24"/>
          <w:szCs w:val="24"/>
        </w:rPr>
      </w:pPr>
      <w:r w:rsidRPr="000D2734">
        <w:rPr>
          <w:sz w:val="24"/>
          <w:szCs w:val="24"/>
        </w:rPr>
        <w:t>Este documento es indispensable como requisito para energizar la instalación</w:t>
      </w:r>
      <w:r w:rsidR="005E3240">
        <w:rPr>
          <w:sz w:val="24"/>
          <w:szCs w:val="24"/>
        </w:rPr>
        <w:t>.</w:t>
      </w:r>
      <w:r w:rsidRPr="000D2734">
        <w:rPr>
          <w:sz w:val="24"/>
          <w:szCs w:val="24"/>
        </w:rPr>
        <w:t>:</w:t>
      </w:r>
    </w:p>
    <w:p w14:paraId="7EB940FF" w14:textId="77777777" w:rsidR="000D2734" w:rsidRDefault="000D2734" w:rsidP="000D2734">
      <w:pPr>
        <w:jc w:val="both"/>
        <w:rPr>
          <w:sz w:val="24"/>
          <w:szCs w:val="24"/>
        </w:rPr>
      </w:pPr>
    </w:p>
    <w:tbl>
      <w:tblPr>
        <w:tblW w:w="9315"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9"/>
        <w:gridCol w:w="1985"/>
        <w:gridCol w:w="2693"/>
        <w:gridCol w:w="2468"/>
      </w:tblGrid>
      <w:tr w:rsidR="00EF3891" w14:paraId="00E4809C" w14:textId="03D6224A" w:rsidTr="00EF3891">
        <w:trPr>
          <w:trHeight w:val="1185"/>
        </w:trPr>
        <w:tc>
          <w:tcPr>
            <w:tcW w:w="2169" w:type="dxa"/>
          </w:tcPr>
          <w:p w14:paraId="491D376F" w14:textId="27271B4D" w:rsidR="00EF3891" w:rsidRDefault="00EF3891" w:rsidP="000D2734">
            <w:pPr>
              <w:jc w:val="both"/>
              <w:rPr>
                <w:sz w:val="24"/>
                <w:szCs w:val="24"/>
              </w:rPr>
            </w:pPr>
            <w:r>
              <w:rPr>
                <w:sz w:val="24"/>
                <w:szCs w:val="24"/>
              </w:rPr>
              <w:t>Firma gerencia:</w:t>
            </w:r>
          </w:p>
        </w:tc>
        <w:tc>
          <w:tcPr>
            <w:tcW w:w="1985" w:type="dxa"/>
          </w:tcPr>
          <w:p w14:paraId="43C9ABCE" w14:textId="5BAE3D26" w:rsidR="00EF3891" w:rsidRDefault="00EF3891" w:rsidP="00EF3891">
            <w:pPr>
              <w:jc w:val="both"/>
              <w:rPr>
                <w:sz w:val="24"/>
                <w:szCs w:val="24"/>
              </w:rPr>
            </w:pPr>
            <w:r>
              <w:rPr>
                <w:sz w:val="24"/>
                <w:szCs w:val="24"/>
              </w:rPr>
              <w:t xml:space="preserve">      Firma HSQ</w:t>
            </w:r>
          </w:p>
        </w:tc>
        <w:tc>
          <w:tcPr>
            <w:tcW w:w="2693" w:type="dxa"/>
          </w:tcPr>
          <w:p w14:paraId="7260EE9A" w14:textId="619AD776" w:rsidR="00EF3891" w:rsidRDefault="00EF3891" w:rsidP="00EF3891">
            <w:pPr>
              <w:jc w:val="both"/>
              <w:rPr>
                <w:sz w:val="24"/>
                <w:szCs w:val="24"/>
              </w:rPr>
            </w:pPr>
            <w:r>
              <w:rPr>
                <w:sz w:val="24"/>
                <w:szCs w:val="24"/>
              </w:rPr>
              <w:t xml:space="preserve">Firma administradora </w:t>
            </w:r>
          </w:p>
        </w:tc>
        <w:tc>
          <w:tcPr>
            <w:tcW w:w="2468" w:type="dxa"/>
          </w:tcPr>
          <w:p w14:paraId="48EE2E40" w14:textId="64CE6C22" w:rsidR="00EF3891" w:rsidRDefault="00EF3891" w:rsidP="00EF3891">
            <w:pPr>
              <w:jc w:val="both"/>
              <w:rPr>
                <w:sz w:val="24"/>
                <w:szCs w:val="24"/>
              </w:rPr>
            </w:pPr>
            <w:r>
              <w:rPr>
                <w:sz w:val="24"/>
                <w:szCs w:val="24"/>
              </w:rPr>
              <w:t>Firma coordinador</w:t>
            </w:r>
          </w:p>
        </w:tc>
      </w:tr>
    </w:tbl>
    <w:p w14:paraId="4A6CC89C" w14:textId="491980AF" w:rsidR="000D2734" w:rsidRPr="000D2734" w:rsidRDefault="000D2734" w:rsidP="008403FE">
      <w:pPr>
        <w:jc w:val="right"/>
        <w:rPr>
          <w:sz w:val="24"/>
          <w:szCs w:val="24"/>
        </w:rPr>
      </w:pPr>
    </w:p>
    <w:sectPr w:rsidR="000D2734" w:rsidRPr="000D2734" w:rsidSect="00257FAA">
      <w:headerReference w:type="default" r:id="rId6"/>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EB6447" w14:textId="77777777" w:rsidR="00900503" w:rsidRDefault="00900503" w:rsidP="00133E82">
      <w:pPr>
        <w:spacing w:after="0"/>
      </w:pPr>
      <w:r>
        <w:separator/>
      </w:r>
    </w:p>
  </w:endnote>
  <w:endnote w:type="continuationSeparator" w:id="0">
    <w:p w14:paraId="3722A018" w14:textId="77777777" w:rsidR="00900503" w:rsidRDefault="00900503" w:rsidP="00133E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EE3DE" w14:textId="77777777" w:rsidR="008403FE" w:rsidRDefault="008403FE" w:rsidP="008403FE">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59264" behindDoc="0" locked="0" layoutInCell="1" allowOverlap="1" wp14:anchorId="3FE7D9F1" wp14:editId="61413AFF">
              <wp:simplePos x="0" y="0"/>
              <wp:positionH relativeFrom="column">
                <wp:posOffset>214630</wp:posOffset>
              </wp:positionH>
              <wp:positionV relativeFrom="paragraph">
                <wp:posOffset>114935</wp:posOffset>
              </wp:positionV>
              <wp:extent cx="5669280" cy="0"/>
              <wp:effectExtent l="38100" t="38100" r="33020" b="88900"/>
              <wp:wrapNone/>
              <wp:docPr id="2" name="Conector recto 2"/>
              <wp:cNvGraphicFramePr/>
              <a:graphic xmlns:a="http://schemas.openxmlformats.org/drawingml/2006/main">
                <a:graphicData uri="http://schemas.microsoft.com/office/word/2010/wordprocessingShape">
                  <wps:wsp>
                    <wps:cNvCnPr/>
                    <wps:spPr>
                      <a:xfrm>
                        <a:off x="0" y="0"/>
                        <a:ext cx="5669280" cy="0"/>
                      </a:xfrm>
                      <a:prstGeom prst="line">
                        <a:avLst/>
                      </a:prstGeom>
                      <a:ln>
                        <a:solidFill>
                          <a:srgbClr val="C00000"/>
                        </a:solidFill>
                      </a:ln>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anchor>
          </w:drawing>
        </mc:Choice>
        <mc:Fallback>
          <w:pict>
            <v:line w14:anchorId="33374906" id="Conector recto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463.3pt,9.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pxe60QEAAAAEAAAOAAAAZHJzL2Uyb0RvYy54bWysU9uO2yAQfa/Uf0C8N3a8arS14uxDVtuX&#13;&#10;qo16+QCChxiJmwYaO3/fgTjeVVtppap+GDMw5zDnANuHyRp2Bozau46vVzVn4KTvtTt1/Mf3p3f3&#13;&#10;nMUkXC+Md9DxC0T+sHv7ZjuGFho/eNMDMiJxsR1Dx4eUQltVUQ5gRVz5AI4WlUcrEqV4qnoUI7Fb&#13;&#10;UzV1valGj31ALyFGmn28LvJd4VcKZPqiVITETMept1QilnjMsdptRXtCEQYt5zbEP3RhhXa06UL1&#13;&#10;KJJgP1H/QWW1RB+9SivpbeWV0hKKBlKzrn9T820QAYoWMieGxab4/2jl5/MBme473nDmhKUj2tNB&#13;&#10;yeSRYf6xJns0hthS6d4dcM5iOGAWPCm0+U9S2FR8vSy+wpSYpMn3m82H5p7sl7e16hkYMKaP4C3L&#13;&#10;g44b7bJk0Yrzp5hoMyq9leRp43KM3uj+SRtTEjwd9wbZWdAh7+v85Z4J+KKMsgytspJr72WULgau&#13;&#10;tF9BkQ/U7V3ZvtxAWGiFlODS3cxrHFVnmKIWFmD9OnCuz1Aot3MBN6+DF0TZ2bu0gK12Hv9GkKb1&#13;&#10;3LK61t8cuOrOFhx9fymnWqyha1acm59Evscv8wJ/fri7XwAAAP//AwBQSwMEFAAGAAgAAAAhAN3q&#13;&#10;1afgAAAADQEAAA8AAABkcnMvZG93bnJldi54bWxMj8FOwzAQRO9I/IO1SNyokxZFbRqnQiCkXqpC&#13;&#10;4QPceIlD47UVO234exZxgMtKO6OdfVNtJteLMw6x86Qgn2UgkBpvOmoVvL893y1BxKTJ6N4TKvjC&#13;&#10;CJv6+qrSpfEXesXzIbWCQyiWWoFNKZRSxsai03HmAxJ7H35wOvE6tNIM+sLhrpfzLCuk0x3xB6sD&#13;&#10;PlpsTofRKQjDfnt/ynd2GvdtoK1dvaTPnVK3N9PTmsfDGkTCKf1dwE8H5oeawY5+JBNFr2CxYPzE&#13;&#10;+jIHwf5qXhQgjr+CrCv5v0X9DQAA//8DAFBLAQItABQABgAIAAAAIQC2gziS/gAAAOEBAAATAAAA&#13;&#10;AAAAAAAAAAAAAAAAAABbQ29udGVudF9UeXBlc10ueG1sUEsBAi0AFAAGAAgAAAAhADj9If/WAAAA&#13;&#10;lAEAAAsAAAAAAAAAAAAAAAAALwEAAF9yZWxzLy5yZWxzUEsBAi0AFAAGAAgAAAAhAFqnF7rRAQAA&#13;&#10;AAQAAA4AAAAAAAAAAAAAAAAALgIAAGRycy9lMm9Eb2MueG1sUEsBAi0AFAAGAAgAAAAhAN3q1afg&#13;&#10;AAAADQEAAA8AAAAAAAAAAAAAAAAAKwQAAGRycy9kb3ducmV2LnhtbFBLBQYAAAAABAAEAPMAAAA4&#13;&#10;BQAAAAA=&#13;&#10;" strokecolor="#c00000" strokeweight="3pt">
              <v:shadow on="t" color="black" opacity="22937f" origin=",.5" offset="0,.63889mm"/>
            </v:line>
          </w:pict>
        </mc:Fallback>
      </mc:AlternateContent>
    </w:r>
  </w:p>
  <w:p w14:paraId="1148A680" w14:textId="02ADE809" w:rsidR="008403FE" w:rsidRPr="0073288E" w:rsidRDefault="008403FE" w:rsidP="00413D61">
    <w:pPr>
      <w:spacing w:after="0"/>
      <w:rPr>
        <w:rFonts w:ascii="Arial" w:hAnsi="Arial" w:cs="Arial"/>
        <w:color w:val="202124"/>
        <w:spacing w:val="2"/>
        <w:sz w:val="18"/>
        <w:szCs w:val="18"/>
        <w:shd w:val="clear" w:color="auto" w:fill="FFFFFF"/>
      </w:rPr>
    </w:pPr>
    <w:r>
      <w:rPr>
        <w:rFonts w:ascii="Arial" w:hAnsi="Arial" w:cs="Arial"/>
        <w:color w:val="202124"/>
        <w:spacing w:val="2"/>
        <w:sz w:val="18"/>
        <w:szCs w:val="18"/>
        <w:shd w:val="clear" w:color="auto" w:fill="FFFFFF"/>
      </w:rPr>
      <w:t xml:space="preserve">                                              </w:t>
    </w:r>
  </w:p>
  <w:p w14:paraId="2B2830E0" w14:textId="25576483" w:rsidR="008403FE" w:rsidRPr="0073288E" w:rsidRDefault="008403FE" w:rsidP="008403FE">
    <w:pPr>
      <w:tabs>
        <w:tab w:val="center" w:pos="4550"/>
        <w:tab w:val="left" w:pos="5818"/>
      </w:tabs>
      <w:rPr>
        <w:color w:val="5F497A" w:themeColor="accent4" w:themeShade="BF"/>
        <w:sz w:val="16"/>
        <w:szCs w:val="24"/>
      </w:rPr>
    </w:pPr>
    <w:r w:rsidRPr="00335C16">
      <w:rPr>
        <w:color w:val="5F497A" w:themeColor="accent4" w:themeShade="BF"/>
        <w:spacing w:val="60"/>
        <w:sz w:val="16"/>
        <w:szCs w:val="24"/>
        <w:lang w:val="es-ES"/>
      </w:rPr>
      <w:t>Página</w:t>
    </w:r>
    <w:r w:rsidRPr="00335C16">
      <w:rPr>
        <w:color w:val="5F497A" w:themeColor="accent4" w:themeShade="BF"/>
        <w:sz w:val="16"/>
        <w:szCs w:val="24"/>
        <w:lang w:val="es-ES"/>
      </w:rPr>
      <w:t xml:space="preserve"> </w:t>
    </w:r>
    <w:r w:rsidRPr="00335C16">
      <w:rPr>
        <w:color w:val="5F497A" w:themeColor="accent4" w:themeShade="BF"/>
        <w:sz w:val="16"/>
        <w:szCs w:val="24"/>
      </w:rPr>
      <w:fldChar w:fldCharType="begin"/>
    </w:r>
    <w:r w:rsidRPr="00335C16">
      <w:rPr>
        <w:color w:val="5F497A" w:themeColor="accent4" w:themeShade="BF"/>
        <w:sz w:val="16"/>
        <w:szCs w:val="24"/>
      </w:rPr>
      <w:instrText>PAGE   \* MERGEFORMAT</w:instrText>
    </w:r>
    <w:r w:rsidRPr="00335C16">
      <w:rPr>
        <w:color w:val="5F497A" w:themeColor="accent4" w:themeShade="BF"/>
        <w:sz w:val="16"/>
        <w:szCs w:val="24"/>
      </w:rPr>
      <w:fldChar w:fldCharType="separate"/>
    </w:r>
    <w:r w:rsidR="00B02005" w:rsidRPr="00B02005">
      <w:rPr>
        <w:noProof/>
        <w:color w:val="5F497A" w:themeColor="accent4" w:themeShade="BF"/>
        <w:sz w:val="16"/>
        <w:szCs w:val="24"/>
        <w:lang w:val="es-ES"/>
      </w:rPr>
      <w:t>2</w:t>
    </w:r>
    <w:r w:rsidRPr="00335C16">
      <w:rPr>
        <w:color w:val="5F497A" w:themeColor="accent4" w:themeShade="BF"/>
        <w:sz w:val="16"/>
        <w:szCs w:val="24"/>
      </w:rPr>
      <w:fldChar w:fldCharType="end"/>
    </w:r>
    <w:r w:rsidRPr="00335C16">
      <w:rPr>
        <w:color w:val="5F497A" w:themeColor="accent4" w:themeShade="BF"/>
        <w:sz w:val="16"/>
        <w:szCs w:val="24"/>
        <w:lang w:val="es-ES"/>
      </w:rPr>
      <w:t xml:space="preserve"> | </w:t>
    </w:r>
    <w:r w:rsidRPr="00335C16">
      <w:rPr>
        <w:color w:val="5F497A" w:themeColor="accent4" w:themeShade="BF"/>
        <w:sz w:val="16"/>
        <w:szCs w:val="24"/>
      </w:rPr>
      <w:fldChar w:fldCharType="begin"/>
    </w:r>
    <w:r w:rsidRPr="00335C16">
      <w:rPr>
        <w:color w:val="5F497A" w:themeColor="accent4" w:themeShade="BF"/>
        <w:sz w:val="16"/>
        <w:szCs w:val="24"/>
      </w:rPr>
      <w:instrText>NUMPAGES  \* Arabic  \* MERGEFORMAT</w:instrText>
    </w:r>
    <w:r w:rsidRPr="00335C16">
      <w:rPr>
        <w:color w:val="5F497A" w:themeColor="accent4" w:themeShade="BF"/>
        <w:sz w:val="16"/>
        <w:szCs w:val="24"/>
      </w:rPr>
      <w:fldChar w:fldCharType="separate"/>
    </w:r>
    <w:r w:rsidR="00B02005" w:rsidRPr="00B02005">
      <w:rPr>
        <w:noProof/>
        <w:color w:val="5F497A" w:themeColor="accent4" w:themeShade="BF"/>
        <w:sz w:val="16"/>
        <w:szCs w:val="24"/>
        <w:lang w:val="es-ES"/>
      </w:rPr>
      <w:t>2</w:t>
    </w:r>
    <w:r w:rsidRPr="00335C16">
      <w:rPr>
        <w:color w:val="5F497A" w:themeColor="accent4" w:themeShade="BF"/>
        <w:sz w:val="16"/>
        <w:szCs w:val="24"/>
      </w:rPr>
      <w:fldChar w:fldCharType="end"/>
    </w:r>
  </w:p>
  <w:p w14:paraId="5038C06C" w14:textId="77777777" w:rsidR="008403FE" w:rsidRDefault="008403F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17259F" w14:textId="77777777" w:rsidR="00900503" w:rsidRDefault="00900503" w:rsidP="00133E82">
      <w:pPr>
        <w:spacing w:after="0"/>
      </w:pPr>
      <w:r>
        <w:separator/>
      </w:r>
    </w:p>
  </w:footnote>
  <w:footnote w:type="continuationSeparator" w:id="0">
    <w:p w14:paraId="217E1CC0" w14:textId="77777777" w:rsidR="00900503" w:rsidRDefault="00900503" w:rsidP="00133E8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6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0"/>
      <w:gridCol w:w="2971"/>
      <w:gridCol w:w="2929"/>
      <w:gridCol w:w="1317"/>
      <w:gridCol w:w="1499"/>
    </w:tblGrid>
    <w:tr w:rsidR="00413D61" w:rsidRPr="00413D61" w14:paraId="6217B879" w14:textId="77777777" w:rsidTr="00413D61">
      <w:trPr>
        <w:trHeight w:val="651"/>
        <w:jc w:val="center"/>
      </w:trPr>
      <w:tc>
        <w:tcPr>
          <w:tcW w:w="2150" w:type="dxa"/>
          <w:vMerge w:val="restart"/>
          <w:shd w:val="clear" w:color="auto" w:fill="auto"/>
          <w:vAlign w:val="center"/>
        </w:tcPr>
        <w:p w14:paraId="4359DB49" w14:textId="77777777" w:rsidR="00413D61" w:rsidRPr="00D3340E" w:rsidRDefault="00413D61" w:rsidP="00413D61">
          <w:pPr>
            <w:pStyle w:val="Encabezado"/>
            <w:ind w:left="62" w:right="52"/>
            <w:jc w:val="center"/>
            <w:rPr>
              <w:rFonts w:ascii="Arial" w:hAnsi="Arial" w:cs="Arial"/>
            </w:rPr>
          </w:pPr>
          <w:r>
            <w:rPr>
              <w:noProof/>
            </w:rPr>
            <w:drawing>
              <wp:anchor distT="0" distB="0" distL="114300" distR="114300" simplePos="0" relativeHeight="251662336" behindDoc="0" locked="0" layoutInCell="1" allowOverlap="1" wp14:anchorId="008C56A9" wp14:editId="22E54CAA">
                <wp:simplePos x="0" y="0"/>
                <wp:positionH relativeFrom="column">
                  <wp:posOffset>-29845</wp:posOffset>
                </wp:positionH>
                <wp:positionV relativeFrom="paragraph">
                  <wp:posOffset>24765</wp:posOffset>
                </wp:positionV>
                <wp:extent cx="1333500" cy="7239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00" w:type="dxa"/>
          <w:gridSpan w:val="2"/>
          <w:shd w:val="clear" w:color="auto" w:fill="auto"/>
          <w:vAlign w:val="center"/>
        </w:tcPr>
        <w:p w14:paraId="693E5742" w14:textId="08EB8997" w:rsidR="00413D61" w:rsidRPr="00D3340E" w:rsidRDefault="00413D61" w:rsidP="00413D61">
          <w:pPr>
            <w:pStyle w:val="Encabezado"/>
            <w:jc w:val="center"/>
            <w:rPr>
              <w:rFonts w:ascii="Arial" w:hAnsi="Arial" w:cs="Arial"/>
              <w:b/>
              <w:bCs/>
            </w:rPr>
          </w:pPr>
          <w:r w:rsidRPr="00413D61">
            <w:rPr>
              <w:rFonts w:ascii="Arial" w:hAnsi="Arial" w:cs="Arial"/>
              <w:b/>
              <w:bCs/>
              <w:sz w:val="32"/>
              <w:szCs w:val="32"/>
            </w:rPr>
            <w:t>PROCEDIMIENTO DE MANTENIMIENTO ELECTRICO</w:t>
          </w:r>
        </w:p>
      </w:tc>
      <w:tc>
        <w:tcPr>
          <w:tcW w:w="1317" w:type="dxa"/>
          <w:vMerge w:val="restart"/>
          <w:shd w:val="clear" w:color="auto" w:fill="auto"/>
          <w:vAlign w:val="center"/>
        </w:tcPr>
        <w:p w14:paraId="17A673B8" w14:textId="77777777" w:rsidR="00413D61" w:rsidRPr="00D3340E" w:rsidRDefault="00413D61" w:rsidP="00413D61">
          <w:pPr>
            <w:pStyle w:val="Encabezado"/>
            <w:ind w:right="127"/>
            <w:jc w:val="center"/>
            <w:rPr>
              <w:rFonts w:ascii="Arial" w:hAnsi="Arial" w:cs="Arial"/>
              <w:sz w:val="18"/>
            </w:rPr>
          </w:pPr>
        </w:p>
        <w:p w14:paraId="67B20D2B" w14:textId="5BF91570" w:rsidR="00413D61" w:rsidRPr="002B1134" w:rsidRDefault="00413D61" w:rsidP="00413D61">
          <w:pPr>
            <w:pStyle w:val="Encabezado"/>
            <w:ind w:left="64" w:right="-64"/>
            <w:rPr>
              <w:rFonts w:ascii="Arial" w:hAnsi="Arial" w:cs="Arial"/>
              <w:lang w:val="en-US"/>
            </w:rPr>
          </w:pPr>
          <w:r w:rsidRPr="002B1134">
            <w:rPr>
              <w:rFonts w:ascii="Arial" w:hAnsi="Arial" w:cs="Arial"/>
              <w:sz w:val="18"/>
              <w:szCs w:val="16"/>
              <w:lang w:val="en-US"/>
            </w:rPr>
            <w:t xml:space="preserve">CODIGO: </w:t>
          </w:r>
          <w:r w:rsidRPr="00413D61">
            <w:rPr>
              <w:rFonts w:ascii="Arial" w:hAnsi="Arial" w:cs="Arial"/>
              <w:sz w:val="18"/>
              <w:szCs w:val="16"/>
              <w:lang w:val="en-US"/>
            </w:rPr>
            <w:t>SGI-MAN-PRO-001</w:t>
          </w:r>
        </w:p>
      </w:tc>
      <w:tc>
        <w:tcPr>
          <w:tcW w:w="1499" w:type="dxa"/>
          <w:vMerge w:val="restart"/>
          <w:vAlign w:val="center"/>
        </w:tcPr>
        <w:p w14:paraId="34B014B8" w14:textId="77777777" w:rsidR="00413D61" w:rsidRPr="002B1134" w:rsidRDefault="00413D61" w:rsidP="00413D61">
          <w:pPr>
            <w:pStyle w:val="Encabezado"/>
            <w:jc w:val="center"/>
            <w:rPr>
              <w:rFonts w:ascii="Arial" w:hAnsi="Arial" w:cs="Arial"/>
              <w:sz w:val="18"/>
              <w:lang w:val="en-US"/>
            </w:rPr>
          </w:pPr>
          <w:r>
            <w:rPr>
              <w:noProof/>
            </w:rPr>
            <w:drawing>
              <wp:anchor distT="0" distB="0" distL="114300" distR="114300" simplePos="0" relativeHeight="251661312" behindDoc="0" locked="0" layoutInCell="1" allowOverlap="1" wp14:anchorId="51BAE33C" wp14:editId="09AC5319">
                <wp:simplePos x="0" y="0"/>
                <wp:positionH relativeFrom="column">
                  <wp:posOffset>-4445</wp:posOffset>
                </wp:positionH>
                <wp:positionV relativeFrom="paragraph">
                  <wp:posOffset>-40005</wp:posOffset>
                </wp:positionV>
                <wp:extent cx="876300" cy="8509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13D61" w:rsidRPr="00D3340E" w14:paraId="3F0D6945" w14:textId="77777777" w:rsidTr="00413D61">
      <w:tblPrEx>
        <w:tblCellMar>
          <w:left w:w="108" w:type="dxa"/>
          <w:right w:w="108" w:type="dxa"/>
        </w:tblCellMar>
      </w:tblPrEx>
      <w:trPr>
        <w:trHeight w:val="354"/>
        <w:jc w:val="center"/>
      </w:trPr>
      <w:tc>
        <w:tcPr>
          <w:tcW w:w="2150" w:type="dxa"/>
          <w:vMerge/>
          <w:shd w:val="clear" w:color="auto" w:fill="auto"/>
          <w:vAlign w:val="center"/>
        </w:tcPr>
        <w:p w14:paraId="430CEDCC" w14:textId="77777777" w:rsidR="00413D61" w:rsidRPr="002B1134" w:rsidRDefault="00413D61" w:rsidP="00413D61">
          <w:pPr>
            <w:pStyle w:val="Encabezado"/>
            <w:jc w:val="center"/>
            <w:rPr>
              <w:rFonts w:ascii="Arial" w:hAnsi="Arial" w:cs="Arial"/>
              <w:lang w:val="en-US"/>
            </w:rPr>
          </w:pPr>
        </w:p>
      </w:tc>
      <w:tc>
        <w:tcPr>
          <w:tcW w:w="2971" w:type="dxa"/>
          <w:shd w:val="clear" w:color="auto" w:fill="auto"/>
          <w:vAlign w:val="center"/>
        </w:tcPr>
        <w:p w14:paraId="620B7DE7" w14:textId="77777777" w:rsidR="00413D61" w:rsidRPr="00D3340E" w:rsidRDefault="00413D61" w:rsidP="00413D61">
          <w:pPr>
            <w:pStyle w:val="Encabezado"/>
            <w:jc w:val="center"/>
            <w:rPr>
              <w:rFonts w:ascii="Arial" w:hAnsi="Arial" w:cs="Arial"/>
              <w:sz w:val="18"/>
            </w:rPr>
          </w:pPr>
          <w:r w:rsidRPr="00D3340E">
            <w:rPr>
              <w:rFonts w:ascii="Arial" w:hAnsi="Arial" w:cs="Arial"/>
              <w:sz w:val="18"/>
            </w:rPr>
            <w:t>VERSION: 001</w:t>
          </w:r>
        </w:p>
      </w:tc>
      <w:tc>
        <w:tcPr>
          <w:tcW w:w="2929" w:type="dxa"/>
          <w:shd w:val="clear" w:color="auto" w:fill="auto"/>
          <w:vAlign w:val="center"/>
        </w:tcPr>
        <w:p w14:paraId="6DE9FC1A" w14:textId="77777777" w:rsidR="00413D61" w:rsidRPr="00D3340E" w:rsidRDefault="00413D61" w:rsidP="00413D61">
          <w:pPr>
            <w:pStyle w:val="Encabezado"/>
            <w:jc w:val="center"/>
            <w:rPr>
              <w:rFonts w:ascii="Arial" w:hAnsi="Arial" w:cs="Arial"/>
              <w:sz w:val="18"/>
            </w:rPr>
          </w:pPr>
          <w:r w:rsidRPr="00D3340E">
            <w:rPr>
              <w:rFonts w:ascii="Arial" w:hAnsi="Arial" w:cs="Arial"/>
              <w:sz w:val="18"/>
            </w:rPr>
            <w:t>FECHA: AGOSTO 2022</w:t>
          </w:r>
        </w:p>
      </w:tc>
      <w:tc>
        <w:tcPr>
          <w:tcW w:w="1317" w:type="dxa"/>
          <w:vMerge/>
          <w:shd w:val="clear" w:color="auto" w:fill="auto"/>
          <w:vAlign w:val="center"/>
        </w:tcPr>
        <w:p w14:paraId="447974F2" w14:textId="77777777" w:rsidR="00413D61" w:rsidRPr="00D3340E" w:rsidRDefault="00413D61" w:rsidP="00413D61">
          <w:pPr>
            <w:pStyle w:val="Encabezado"/>
            <w:jc w:val="center"/>
            <w:rPr>
              <w:rFonts w:ascii="Arial" w:hAnsi="Arial" w:cs="Arial"/>
              <w:sz w:val="18"/>
            </w:rPr>
          </w:pPr>
        </w:p>
      </w:tc>
      <w:tc>
        <w:tcPr>
          <w:tcW w:w="1499" w:type="dxa"/>
          <w:vMerge/>
          <w:vAlign w:val="center"/>
        </w:tcPr>
        <w:p w14:paraId="0288395D" w14:textId="77777777" w:rsidR="00413D61" w:rsidRPr="00D3340E" w:rsidRDefault="00413D61" w:rsidP="00413D61">
          <w:pPr>
            <w:pStyle w:val="Encabezado"/>
            <w:jc w:val="center"/>
            <w:rPr>
              <w:rFonts w:ascii="Arial" w:hAnsi="Arial" w:cs="Arial"/>
              <w:sz w:val="18"/>
            </w:rPr>
          </w:pPr>
        </w:p>
      </w:tc>
    </w:tr>
  </w:tbl>
  <w:p w14:paraId="1CC54ADF" w14:textId="066BB84A" w:rsidR="003C3AB4" w:rsidRDefault="003C3AB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734"/>
    <w:rsid w:val="000157FB"/>
    <w:rsid w:val="00023784"/>
    <w:rsid w:val="00035512"/>
    <w:rsid w:val="000D2734"/>
    <w:rsid w:val="00133E82"/>
    <w:rsid w:val="001D1535"/>
    <w:rsid w:val="001F2F51"/>
    <w:rsid w:val="00257FAA"/>
    <w:rsid w:val="00285EB9"/>
    <w:rsid w:val="002B4C31"/>
    <w:rsid w:val="00327782"/>
    <w:rsid w:val="003C3AB4"/>
    <w:rsid w:val="003D1158"/>
    <w:rsid w:val="00413D61"/>
    <w:rsid w:val="004E7CF1"/>
    <w:rsid w:val="00515ADC"/>
    <w:rsid w:val="005203A0"/>
    <w:rsid w:val="005E3240"/>
    <w:rsid w:val="00696762"/>
    <w:rsid w:val="008403FE"/>
    <w:rsid w:val="008A20EB"/>
    <w:rsid w:val="008E4D67"/>
    <w:rsid w:val="00900503"/>
    <w:rsid w:val="00A713CB"/>
    <w:rsid w:val="00A85280"/>
    <w:rsid w:val="00B02005"/>
    <w:rsid w:val="00B31DF2"/>
    <w:rsid w:val="00BD75B2"/>
    <w:rsid w:val="00CE067D"/>
    <w:rsid w:val="00E47D12"/>
    <w:rsid w:val="00E9238E"/>
    <w:rsid w:val="00EF3891"/>
    <w:rsid w:val="00FA3044"/>
    <w:rsid w:val="00FB143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95B0AC"/>
  <w15:docId w15:val="{155F058E-D50C-41D9-9B23-5C70B448C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6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unhideWhenUsed/>
    <w:rsid w:val="00EF3891"/>
    <w:pPr>
      <w:tabs>
        <w:tab w:val="center" w:pos="4252"/>
        <w:tab w:val="right" w:pos="8504"/>
      </w:tabs>
      <w:spacing w:after="0"/>
    </w:pPr>
  </w:style>
  <w:style w:type="character" w:customStyle="1" w:styleId="EncabezadoCar">
    <w:name w:val="Encabezado Car"/>
    <w:aliases w:val="h Car"/>
    <w:basedOn w:val="Fuentedeprrafopredeter"/>
    <w:link w:val="Encabezado"/>
    <w:rsid w:val="00EF3891"/>
  </w:style>
  <w:style w:type="paragraph" w:styleId="Piedepgina">
    <w:name w:val="footer"/>
    <w:basedOn w:val="Normal"/>
    <w:link w:val="PiedepginaCar"/>
    <w:uiPriority w:val="99"/>
    <w:unhideWhenUsed/>
    <w:rsid w:val="00EF3891"/>
    <w:pPr>
      <w:tabs>
        <w:tab w:val="center" w:pos="4252"/>
        <w:tab w:val="right" w:pos="8504"/>
      </w:tabs>
      <w:spacing w:after="0"/>
    </w:pPr>
  </w:style>
  <w:style w:type="character" w:customStyle="1" w:styleId="PiedepginaCar">
    <w:name w:val="Pie de página Car"/>
    <w:basedOn w:val="Fuentedeprrafopredeter"/>
    <w:link w:val="Piedepgina"/>
    <w:uiPriority w:val="99"/>
    <w:rsid w:val="00EF3891"/>
  </w:style>
  <w:style w:type="table" w:styleId="Tablaconcuadrcula">
    <w:name w:val="Table Grid"/>
    <w:basedOn w:val="Tablanormal"/>
    <w:uiPriority w:val="59"/>
    <w:rsid w:val="003C3AB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403FE"/>
    <w:rPr>
      <w:color w:val="0000FF" w:themeColor="hyperlink"/>
      <w:u w:val="single"/>
    </w:rPr>
  </w:style>
  <w:style w:type="character" w:styleId="Hipervnculovisitado">
    <w:name w:val="FollowedHyperlink"/>
    <w:basedOn w:val="Fuentedeprrafopredeter"/>
    <w:uiPriority w:val="99"/>
    <w:semiHidden/>
    <w:unhideWhenUsed/>
    <w:rsid w:val="00413D6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ásico de Offic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743</Words>
  <Characters>4092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EPM</dc:creator>
  <cp:lastModifiedBy>YENNY VIVIANA CARDOZO DOMINGUEZ</cp:lastModifiedBy>
  <cp:revision>5</cp:revision>
  <dcterms:created xsi:type="dcterms:W3CDTF">2021-05-27T00:18:00Z</dcterms:created>
  <dcterms:modified xsi:type="dcterms:W3CDTF">2022-11-23T04:32:00Z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y_tag_name">
    <vt:lpwstr>MetaClean sync </vt:lpwstr>
  </property>
</Properties>
</file>