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2D0596" w14:textId="7816A3F9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 xml:space="preserve">El mantenimiento de la estufa tiene como fin específico verificar el estado y garantizar </w:t>
      </w:r>
      <w:r w:rsidR="008E162C"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la seguridad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 xml:space="preserve"> de funcionamiento de la estufa y de todos los elementos que la componen (tren de gas, fistos, válvulas, quemadores, tuberías, venturi, perillas) para realizar las reparaciones y adecuaciones necesarias observadas durante el mismo y para conservarlas en estado óptimo para su uso diario. Durante la realización del mantenimiento se pretende:</w:t>
      </w:r>
    </w:p>
    <w:p w14:paraId="4B3C1033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Recalibrar los fistos para cada fogón.</w:t>
      </w:r>
    </w:p>
    <w:p w14:paraId="5A466405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Recalibrar la llama de cada fogón.</w:t>
      </w:r>
    </w:p>
    <w:p w14:paraId="5977F872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Verificar el estado de funcionamiento óptimo de todos los elementos de la estufa.</w:t>
      </w:r>
    </w:p>
    <w:p w14:paraId="6A830514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Realizar la limpieza de los elementos internos y externos.</w:t>
      </w:r>
    </w:p>
    <w:p w14:paraId="63953D14" w14:textId="065B4F34" w:rsidR="002866A5" w:rsidRPr="000A3D47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En el presente documento se muestra el procedimiento establecido para realizar los mantenimientos preventivo y correctivo de las estufas a gas en las instalaciones de los clientes, determinando los responsables, requerimientos del proceso y las salidas generadas.</w:t>
      </w:r>
    </w:p>
    <w:p w14:paraId="6F5511FD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144" w:line="240" w:lineRule="auto"/>
        <w:outlineLvl w:val="2"/>
        <w:rPr>
          <w:rFonts w:ascii="Segoe UI" w:eastAsia="Times New Roman" w:hAnsi="Segoe UI" w:cs="Segoe UI"/>
          <w:color w:val="333333"/>
          <w:sz w:val="34"/>
          <w:szCs w:val="34"/>
          <w:lang w:eastAsia="es-419"/>
        </w:rPr>
      </w:pPr>
      <w:r w:rsidRPr="002866A5">
        <w:rPr>
          <w:rFonts w:ascii="Segoe UI" w:eastAsia="Times New Roman" w:hAnsi="Segoe UI" w:cs="Segoe UI"/>
          <w:b/>
          <w:bCs/>
          <w:color w:val="333333"/>
          <w:sz w:val="34"/>
          <w:szCs w:val="34"/>
          <w:bdr w:val="single" w:sz="2" w:space="0" w:color="E2E8F0" w:frame="1"/>
          <w:lang w:eastAsia="es-419"/>
        </w:rPr>
        <w:t>Referencias normativas</w:t>
      </w:r>
    </w:p>
    <w:p w14:paraId="2D9FFC11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Las normas utilizadas en el desarrollo del presente documento son:</w:t>
      </w:r>
    </w:p>
    <w:p w14:paraId="3CFAB607" w14:textId="3DA27036" w:rsidR="00DE659C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 xml:space="preserve">[1] International </w:t>
      </w:r>
      <w:r w:rsidR="00685CCB"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Organización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 xml:space="preserve"> for Standardization, “Norma Internacional ISO 9000;2015 Sistemas de </w:t>
      </w:r>
      <w:r w:rsidR="00685CCB"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Gestión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 xml:space="preserve"> de la Calidad - Fundamentos y Vocabulario,” </w:t>
      </w:r>
      <w:r w:rsidR="00685CCB"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Norma</w:t>
      </w: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. ISO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 xml:space="preserve">, 2016. [2] ICONTEC, “NTC 2505: Instalaciones para el </w:t>
      </w:r>
      <w:r w:rsidR="00685CCB"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suministro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 xml:space="preserve"> de gas combustible</w:t>
      </w:r>
    </w:p>
    <w:p w14:paraId="27F488DB" w14:textId="04547F5F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destinadas a usos residenciales y comerciales,” </w:t>
      </w:r>
      <w:r w:rsidR="00685CCB"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Norma</w:t>
      </w: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. ICONTEC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, 2006.</w:t>
      </w:r>
    </w:p>
    <w:p w14:paraId="39912F60" w14:textId="3BEAFB43" w:rsidR="002866A5" w:rsidRPr="000A3D47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 xml:space="preserve">[3] ICONTEC, “NTC 3838: Presiones de operación permisibles para el transporte, </w:t>
      </w:r>
      <w:r w:rsidR="00685CCB"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distribución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 xml:space="preserve"> y suministro de gases combustibles,” </w:t>
      </w:r>
      <w:r w:rsidR="00685CCB"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Norma</w:t>
      </w: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. ICONTEC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, 2007.</w:t>
      </w:r>
    </w:p>
    <w:p w14:paraId="11D338B7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Las siguientes definiciones [1] fueron utilizadas en el desarrollo del presente manual, se aportan en virtud de la claridad y de la compresión del procedimiento de mantenimiento:</w:t>
      </w:r>
    </w:p>
    <w:p w14:paraId="6F3378DA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lastRenderedPageBreak/>
        <w:t>Acción correctiva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: acción tomada para eliminar la causa de una no conformidad detectada u otra situación no deseable (NOTA 1 Puede haber más de una causa para una no conformidad.) (NOTA 2 La acción correctiva se toma para prevenir que algo vuelva a producirse, mientras que la acción preventiva se toma para prevenir que algo suceda.) Relativa al mantenimiento correctivo.</w:t>
      </w:r>
    </w:p>
    <w:p w14:paraId="18E59414" w14:textId="6F15D789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Acción preventiva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: acción tomada para eliminar la causa de una no conformidad potencial u otra situación potencial no deseable (NOTA 1 Puede haber más de una causa para una no conformidad potencial.) (NOTA 2 La acción preventiva se toma para prevenir que algo suceda, mientras que la acción correctiva se toma para prevenir que vuelva a producirse.) Relativa al mantenimiento preventivo.</w:t>
      </w:r>
    </w:p>
    <w:p w14:paraId="3A6E7D8F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Conformidad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: cumplimiento de un requisito.</w:t>
      </w:r>
    </w:p>
    <w:p w14:paraId="3BD3BCED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Corrección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: acción tomada para eliminar una no conformidad detectada. (NOTA 1 Una corrección puede realizarse junto con una acción correctiva.)</w:t>
      </w:r>
    </w:p>
    <w:p w14:paraId="4503B21B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Defecto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: incumplimiento de un requisito asociado a un uso previsto o especificado.</w:t>
      </w:r>
    </w:p>
    <w:p w14:paraId="39D47FC3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No conformidad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: incumplimiento de un requisito.</w:t>
      </w:r>
    </w:p>
    <w:p w14:paraId="28364065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Procedimiento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: forma especificada para llevar a cabo una actividad o proceso.</w:t>
      </w:r>
    </w:p>
    <w:p w14:paraId="44513364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Proceso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: conjunto de actividades mutuamente relacionadas o que interactúan, las cuales transforman elementos de entrada en resultados.</w:t>
      </w:r>
    </w:p>
    <w:p w14:paraId="7A2D4EDA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Producto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: resultado del proceso.</w:t>
      </w:r>
    </w:p>
    <w:p w14:paraId="373704FF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Reparación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: acción tomada sobre un producto no conforme para convertirlo en aceptable para su utilización prevista. (NOTA 1 La reparación incluye las acciones reparadoras adoptadas sobre un producto previamente conforme para devolverle su aptitud al uso, por ejemplo, como parte del mantenimiento.)</w:t>
      </w:r>
    </w:p>
    <w:p w14:paraId="54C77198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lastRenderedPageBreak/>
        <w:t>Requisito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: necesidad o expectativa establecida para un producto, generalmente implícita u obligatoria.</w:t>
      </w:r>
    </w:p>
    <w:p w14:paraId="025DAE96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Seguridad de funcionamiento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: conjunto de propiedades utilizadas para describir la disponibilidad y los factores que la influencian: confiabilidad, capacidad de mantenimiento y mantenimiento de apoyo (NOTA: La seguridad de funcionamiento es un concepto general, sin carácter cuantitativo.)</w:t>
      </w:r>
    </w:p>
    <w:p w14:paraId="07012EE4" w14:textId="6366AE69" w:rsidR="002866A5" w:rsidRPr="000A3D47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Así mismo se aplican las definiciones dadas en las normas NTC 2505 [2] y NTC 3838 [3].</w:t>
      </w:r>
    </w:p>
    <w:p w14:paraId="5370A251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144" w:line="240" w:lineRule="auto"/>
        <w:outlineLvl w:val="2"/>
        <w:rPr>
          <w:rFonts w:ascii="Segoe UI" w:eastAsia="Times New Roman" w:hAnsi="Segoe UI" w:cs="Segoe UI"/>
          <w:color w:val="333333"/>
          <w:sz w:val="34"/>
          <w:szCs w:val="34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34"/>
          <w:szCs w:val="34"/>
          <w:lang w:eastAsia="es-419"/>
        </w:rPr>
        <w:t>Definiciones de procedimiento</w:t>
      </w:r>
    </w:p>
    <w:p w14:paraId="230FCDD3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Para el desarrollo del manual de procedimiento se aportan las siguientes definiciones:</w:t>
      </w:r>
    </w:p>
    <w:p w14:paraId="3057EDAC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Elemento: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 partes que componen un producto.</w:t>
      </w:r>
    </w:p>
    <w:p w14:paraId="3845A70B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Requisitos de funcionamiento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: requisitos para el desempeño de una labor específica para un elemento o producto.</w:t>
      </w:r>
    </w:p>
    <w:p w14:paraId="63261661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No conformidad de funcionamiento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: incumplimiento de un requisito de funcionamiento.</w:t>
      </w:r>
    </w:p>
    <w:p w14:paraId="473568B8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Estado de funcionamiento óptimo (EFO)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: comportamiento de cada elemento o producto según lo establecido en sus requisitos de funcionamiento. Cada elemento y producto tiene un EFO determinado, descrito a continuación y puede presentar dependencia del EFO de algún otro elemento (véase numeral 6.1 diagrama del producto):</w:t>
      </w:r>
    </w:p>
    <w:p w14:paraId="66FF40BF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EFO Fogón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: Emite una llama estable, únicamente azul y de altura constante.</w:t>
      </w:r>
    </w:p>
    <w:p w14:paraId="689252F3" w14:textId="04BBCD62" w:rsidR="002866A5" w:rsidRPr="000A3D47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EFO Perilla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: Abre únicamente al ser presionada y girada, mantiene la posición establecida por el usuario.</w:t>
      </w:r>
    </w:p>
    <w:p w14:paraId="50853634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144" w:line="240" w:lineRule="auto"/>
        <w:outlineLvl w:val="2"/>
        <w:rPr>
          <w:rFonts w:ascii="Segoe UI" w:eastAsia="Times New Roman" w:hAnsi="Segoe UI" w:cs="Segoe UI"/>
          <w:color w:val="333333"/>
          <w:sz w:val="34"/>
          <w:szCs w:val="34"/>
          <w:lang w:eastAsia="es-419"/>
        </w:rPr>
      </w:pPr>
      <w:r w:rsidRPr="002866A5">
        <w:rPr>
          <w:rFonts w:ascii="Segoe UI" w:eastAsia="Times New Roman" w:hAnsi="Segoe UI" w:cs="Segoe UI"/>
          <w:b/>
          <w:bCs/>
          <w:color w:val="333333"/>
          <w:sz w:val="34"/>
          <w:szCs w:val="34"/>
          <w:bdr w:val="single" w:sz="2" w:space="0" w:color="E2E8F0" w:frame="1"/>
          <w:lang w:eastAsia="es-419"/>
        </w:rPr>
        <w:t>Periodicidad del mantenimiento</w:t>
      </w:r>
    </w:p>
    <w:p w14:paraId="217D4162" w14:textId="380DE97A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lastRenderedPageBreak/>
        <w:t>El mantenimiento preventivo se debe realizar cada</w:t>
      </w:r>
      <w:r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2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 xml:space="preserve"> (</w:t>
      </w:r>
      <w:r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dos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) meses -si no se observa ninguna irregularidad en el funcionamiento de los equipos- para el correcto funcionamiento de la estufa.</w:t>
      </w:r>
    </w:p>
    <w:p w14:paraId="4B038EAA" w14:textId="6BB4ED3F" w:rsidR="002866A5" w:rsidRPr="000A3D47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De ser observada una irregularidad en el funcionamiento en un periodo menor al anteriormente estipulado se debe proceder inmediatamente a realizar el mantenimiento correctivo para determinar la razón de la falla y realizar la corrección y/o acción correctiva respectiva.</w:t>
      </w:r>
    </w:p>
    <w:p w14:paraId="6284FD9A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144" w:line="240" w:lineRule="auto"/>
        <w:outlineLvl w:val="2"/>
        <w:rPr>
          <w:rFonts w:ascii="Segoe UI" w:eastAsia="Times New Roman" w:hAnsi="Segoe UI" w:cs="Segoe UI"/>
          <w:color w:val="333333"/>
          <w:sz w:val="34"/>
          <w:szCs w:val="34"/>
          <w:lang w:eastAsia="es-419"/>
        </w:rPr>
      </w:pPr>
      <w:r w:rsidRPr="002866A5">
        <w:rPr>
          <w:rFonts w:ascii="Segoe UI" w:eastAsia="Times New Roman" w:hAnsi="Segoe UI" w:cs="Segoe UI"/>
          <w:b/>
          <w:bCs/>
          <w:color w:val="333333"/>
          <w:sz w:val="34"/>
          <w:szCs w:val="34"/>
          <w:bdr w:val="single" w:sz="2" w:space="0" w:color="E2E8F0" w:frame="1"/>
          <w:lang w:eastAsia="es-419"/>
        </w:rPr>
        <w:t>Excepciones de equipos a mantener</w:t>
      </w:r>
    </w:p>
    <w:p w14:paraId="2301E1BA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En el caso de contar con varias estufas en las instalaciones del cliente y con el fin de dar celeridad a la realización del mantenimiento, no será requerido el mantenimiento de una estufa en alguno de los siguientes casos:</w:t>
      </w:r>
    </w:p>
    <w:p w14:paraId="1A3D5BD0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• Ha estado en funcionamiento durante un periodo menor a 2 (dos) meses.</w:t>
      </w:r>
    </w:p>
    <w:p w14:paraId="4A343321" w14:textId="714621D9" w:rsidR="002866A5" w:rsidRPr="000A3D47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• Fue realizado un mantenimiento correctivo en un periodo menor a 2 (dos) meses y no ha presentado irregularidad en su funcionamiento.</w:t>
      </w:r>
    </w:p>
    <w:p w14:paraId="6FBB916D" w14:textId="25ECF876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144" w:line="240" w:lineRule="auto"/>
        <w:outlineLvl w:val="2"/>
        <w:rPr>
          <w:rFonts w:ascii="Segoe UI" w:eastAsia="Times New Roman" w:hAnsi="Segoe UI" w:cs="Segoe UI"/>
          <w:color w:val="333333"/>
          <w:sz w:val="34"/>
          <w:szCs w:val="34"/>
          <w:lang w:eastAsia="es-419"/>
        </w:rPr>
      </w:pPr>
      <w:r w:rsidRPr="002866A5">
        <w:rPr>
          <w:rFonts w:ascii="Segoe UI" w:eastAsia="Times New Roman" w:hAnsi="Segoe UI" w:cs="Segoe UI"/>
          <w:b/>
          <w:bCs/>
          <w:color w:val="333333"/>
          <w:sz w:val="34"/>
          <w:szCs w:val="34"/>
          <w:bdr w:val="single" w:sz="2" w:space="0" w:color="E2E8F0" w:frame="1"/>
          <w:lang w:eastAsia="es-419"/>
        </w:rPr>
        <w:t>Especificaciones técnicas para el mantenimiento</w:t>
      </w:r>
    </w:p>
    <w:p w14:paraId="09C6E86E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144" w:line="240" w:lineRule="auto"/>
        <w:outlineLvl w:val="2"/>
        <w:rPr>
          <w:rFonts w:ascii="Segoe UI" w:eastAsia="Times New Roman" w:hAnsi="Segoe UI" w:cs="Segoe UI"/>
          <w:color w:val="333333"/>
          <w:sz w:val="34"/>
          <w:szCs w:val="34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34"/>
          <w:szCs w:val="34"/>
          <w:lang w:eastAsia="es-419"/>
        </w:rPr>
        <w:t>Características técnicas de la estufa</w:t>
      </w:r>
    </w:p>
    <w:p w14:paraId="674B5F30" w14:textId="62D1EF42" w:rsidR="002866A5" w:rsidRPr="000A3D47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Fig. 1 - Diagrama de la estufa (Inserción de características técnicas de la estufa y diagramas requeridos)</w:t>
      </w:r>
    </w:p>
    <w:p w14:paraId="518F941F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144" w:line="240" w:lineRule="auto"/>
        <w:outlineLvl w:val="2"/>
        <w:rPr>
          <w:rFonts w:ascii="Segoe UI" w:eastAsia="Times New Roman" w:hAnsi="Segoe UI" w:cs="Segoe UI"/>
          <w:color w:val="333333"/>
          <w:sz w:val="34"/>
          <w:szCs w:val="34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34"/>
          <w:szCs w:val="34"/>
          <w:lang w:eastAsia="es-419"/>
        </w:rPr>
        <w:t>Niveles permisibles de gases provenientes de la combustión</w:t>
      </w:r>
    </w:p>
    <w:p w14:paraId="7F02F117" w14:textId="1505D78F" w:rsidR="002866A5" w:rsidRDefault="002866A5" w:rsidP="000A3D47">
      <w:pPr>
        <w:spacing w:after="0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La legislación colombiana vigente determina (Inserción de características técnicas especificadas en las normas y leyes vigentes y diagramas o datos requeridos)</w:t>
      </w:r>
    </w:p>
    <w:p w14:paraId="1C2B47D1" w14:textId="77777777" w:rsidR="000A3D47" w:rsidRPr="000A3D47" w:rsidRDefault="000A3D47" w:rsidP="000A3D47">
      <w:pPr>
        <w:spacing w:after="0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</w:p>
    <w:p w14:paraId="1227A699" w14:textId="29C5C564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144" w:line="240" w:lineRule="auto"/>
        <w:outlineLvl w:val="2"/>
        <w:rPr>
          <w:rFonts w:ascii="Segoe UI" w:eastAsia="Times New Roman" w:hAnsi="Segoe UI" w:cs="Segoe UI"/>
          <w:color w:val="333333"/>
          <w:sz w:val="34"/>
          <w:szCs w:val="34"/>
          <w:lang w:eastAsia="es-419"/>
        </w:rPr>
      </w:pPr>
      <w:r w:rsidRPr="002866A5">
        <w:rPr>
          <w:rFonts w:ascii="Segoe UI" w:eastAsia="Times New Roman" w:hAnsi="Segoe UI" w:cs="Segoe UI"/>
          <w:b/>
          <w:bCs/>
          <w:color w:val="333333"/>
          <w:sz w:val="34"/>
          <w:szCs w:val="34"/>
          <w:bdr w:val="single" w:sz="2" w:space="0" w:color="E2E8F0" w:frame="1"/>
          <w:lang w:eastAsia="es-419"/>
        </w:rPr>
        <w:t>Procedimiento de mantenimiento</w:t>
      </w:r>
    </w:p>
    <w:p w14:paraId="162EF32F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144" w:line="240" w:lineRule="auto"/>
        <w:outlineLvl w:val="2"/>
        <w:rPr>
          <w:rFonts w:ascii="Segoe UI" w:eastAsia="Times New Roman" w:hAnsi="Segoe UI" w:cs="Segoe UI"/>
          <w:color w:val="333333"/>
          <w:sz w:val="34"/>
          <w:szCs w:val="34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34"/>
          <w:szCs w:val="34"/>
          <w:lang w:eastAsia="es-419"/>
        </w:rPr>
        <w:t>Instrucciones previas al mantenimiento</w:t>
      </w:r>
    </w:p>
    <w:p w14:paraId="2233FD03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lastRenderedPageBreak/>
        <w:t>Antes de dirigirse a las instalaciones del cliente donde se requiere el mantenimiento de la estufa, asegúrese de contar con lo siguiente:</w:t>
      </w:r>
    </w:p>
    <w:p w14:paraId="629DDA0B" w14:textId="3D779015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Orden de prestación de servicios: Mantenimiento (OPSM) debidamente diligenciada (La única información faltante debe ser la consignada una vez se ha realizado el mantenimiento).</w:t>
      </w:r>
    </w:p>
    <w:p w14:paraId="5CC2C83D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Una vez listos estos requerimientos y ubicándose en las instalaciones del cliente:</w:t>
      </w:r>
    </w:p>
    <w:p w14:paraId="3788A9BF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1.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 Enumere en sentido horario las estufas en las instalaciones a mantener, partiendo de la más cercana a la entrada.</w:t>
      </w:r>
    </w:p>
    <w:p w14:paraId="10E4D935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2.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 Enumere en orden primero desde el fondo hacia el frente y luego de izquierda a derecha los fogones en cada estufa.</w:t>
      </w:r>
    </w:p>
    <w:p w14:paraId="366D9168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3.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 Según la enumeración establecida verifique que todos los fogones encienden y apagan correctamente. De no ser así, marque con cinta de enmascarar el fogón que presenta la no conformidad de funcionamiento.</w:t>
      </w:r>
    </w:p>
    <w:p w14:paraId="247023BE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4.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 Revise las paredes y los techos adyacentes a las estufas en busca de hollín y marcas de humo. De hallarlas, marque con cinta de enmascarar las estufas adyacentes a estas marcas.</w:t>
      </w:r>
    </w:p>
    <w:p w14:paraId="7D17E525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Una vez verificado todo lo anterior, asegúrese de que se cumplan las siguientes condiciones:</w:t>
      </w:r>
    </w:p>
    <w:p w14:paraId="18BEB454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Se encuentra cerrada la válvula principal de alimentación de gas al sistema.</w:t>
      </w:r>
    </w:p>
    <w:p w14:paraId="6718C5F7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Se cuenta con un espacio adecuado para la realización del mantenimiento.</w:t>
      </w:r>
    </w:p>
    <w:p w14:paraId="1F300C51" w14:textId="08820EF3" w:rsidR="002866A5" w:rsidRPr="000A3D47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Hay una adecuada ventilación en el lugar donde se realiza el mantenimiento.</w:t>
      </w:r>
    </w:p>
    <w:p w14:paraId="11555273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144" w:line="240" w:lineRule="auto"/>
        <w:outlineLvl w:val="2"/>
        <w:rPr>
          <w:rFonts w:ascii="Segoe UI" w:eastAsia="Times New Roman" w:hAnsi="Segoe UI" w:cs="Segoe UI"/>
          <w:color w:val="333333"/>
          <w:sz w:val="34"/>
          <w:szCs w:val="34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34"/>
          <w:szCs w:val="34"/>
          <w:lang w:eastAsia="es-419"/>
        </w:rPr>
        <w:t>Mantenimiento preventivo</w:t>
      </w:r>
    </w:p>
    <w:p w14:paraId="1148C326" w14:textId="314F20D5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 xml:space="preserve">Este mantenimiento se realizará a una estufa que no ha presentado una no conformidad de funcionamiento. Según la enumeración 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lastRenderedPageBreak/>
        <w:t>anteriormente establecida, a cada estufa se le realizará el mantenimiento preventivo llevando a cabo el siguiente procedimiento:</w:t>
      </w:r>
    </w:p>
    <w:p w14:paraId="2F733337" w14:textId="6DEFF4CD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Desplace la estufa hasta una ubicación abierta que le permita tener acceso a todas sus partes.</w:t>
      </w:r>
    </w:p>
    <w:p w14:paraId="6D3FFCA2" w14:textId="0DA5A63B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 (Inserción del procedimiento establecido paso a paso para el mantenimiento y diagramas requeridos)</w:t>
      </w:r>
    </w:p>
    <w:p w14:paraId="4F121EAB" w14:textId="2BE674FE" w:rsidR="00DE659C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i/>
          <w:iCs/>
          <w:color w:val="333333"/>
          <w:sz w:val="27"/>
          <w:szCs w:val="27"/>
          <w:bdr w:val="single" w:sz="2" w:space="0" w:color="E2E8F0" w:frame="1"/>
          <w:lang w:eastAsia="es-419"/>
        </w:rPr>
        <w:t>.</w:t>
      </w: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 Reubique la estufa en su lugar.</w:t>
      </w:r>
    </w:p>
    <w:p w14:paraId="4322EFC4" w14:textId="77777777" w:rsidR="000A3D47" w:rsidRPr="002866A5" w:rsidRDefault="000A3D47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</w:p>
    <w:p w14:paraId="73ECE3D9" w14:textId="77777777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144" w:line="240" w:lineRule="auto"/>
        <w:outlineLvl w:val="2"/>
        <w:rPr>
          <w:rFonts w:ascii="Segoe UI" w:eastAsia="Times New Roman" w:hAnsi="Segoe UI" w:cs="Segoe UI"/>
          <w:color w:val="333333"/>
          <w:sz w:val="34"/>
          <w:szCs w:val="34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34"/>
          <w:szCs w:val="34"/>
          <w:lang w:eastAsia="es-419"/>
        </w:rPr>
        <w:t>Mantenimiento correctivo</w:t>
      </w:r>
    </w:p>
    <w:p w14:paraId="61EE027A" w14:textId="3C46674C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Este mantenimiento se realizará a una estufa que ha sido previamente marcada pues puede presentar una no conformidad en su funcionamiento. Para una estufa a la cual se le debe realizar un mantenimiento correctivo se debe llevar a cabo el siguiente procedimiento:</w:t>
      </w:r>
    </w:p>
    <w:p w14:paraId="02E1EBE6" w14:textId="5F924393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Desplace la estufa hasta una ubicación abierta que le permita tener acceso a todas sus partes.</w:t>
      </w:r>
    </w:p>
    <w:p w14:paraId="30238769" w14:textId="42A5C014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  <w:r w:rsidRPr="002866A5"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  <w:t> (Inserción del procedimiento establecido para el mantenimiento y diagramas requeridos)</w:t>
      </w:r>
    </w:p>
    <w:p w14:paraId="5E0E8B1B" w14:textId="7F326558" w:rsidR="002866A5" w:rsidRPr="002866A5" w:rsidRDefault="002866A5" w:rsidP="000A3D47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44" w:after="144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es-419"/>
        </w:rPr>
      </w:pPr>
    </w:p>
    <w:tbl>
      <w:tblPr>
        <w:tblW w:w="8640" w:type="dxa"/>
        <w:tblInd w:w="-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9"/>
        <w:gridCol w:w="1985"/>
        <w:gridCol w:w="2551"/>
        <w:gridCol w:w="2165"/>
      </w:tblGrid>
      <w:tr w:rsidR="008E162C" w14:paraId="0B5F2AF3" w14:textId="3A93A9EE" w:rsidTr="008E162C">
        <w:trPr>
          <w:trHeight w:val="1440"/>
        </w:trPr>
        <w:tc>
          <w:tcPr>
            <w:tcW w:w="1939" w:type="dxa"/>
          </w:tcPr>
          <w:p w14:paraId="0D3A29B8" w14:textId="34D6183C" w:rsidR="008E162C" w:rsidRDefault="008E162C" w:rsidP="000A3D47">
            <w:r>
              <w:t>Firma Gerencia</w:t>
            </w:r>
          </w:p>
        </w:tc>
        <w:tc>
          <w:tcPr>
            <w:tcW w:w="1985" w:type="dxa"/>
          </w:tcPr>
          <w:p w14:paraId="0192122F" w14:textId="02D7CE08" w:rsidR="008E162C" w:rsidRDefault="008E162C" w:rsidP="000A3D47">
            <w:r>
              <w:t>Firma HSQ</w:t>
            </w:r>
          </w:p>
        </w:tc>
        <w:tc>
          <w:tcPr>
            <w:tcW w:w="2551" w:type="dxa"/>
          </w:tcPr>
          <w:p w14:paraId="62B46EE8" w14:textId="552DB3AB" w:rsidR="008E162C" w:rsidRDefault="008E162C" w:rsidP="000A3D47">
            <w:r>
              <w:t>Firma administradora</w:t>
            </w:r>
          </w:p>
        </w:tc>
        <w:tc>
          <w:tcPr>
            <w:tcW w:w="2165" w:type="dxa"/>
          </w:tcPr>
          <w:p w14:paraId="4DEAE481" w14:textId="05EED93D" w:rsidR="008E162C" w:rsidRDefault="008E162C" w:rsidP="000A3D47">
            <w:r>
              <w:t>Firma Coordinador</w:t>
            </w:r>
          </w:p>
        </w:tc>
      </w:tr>
    </w:tbl>
    <w:p w14:paraId="51C4D35A" w14:textId="31784824" w:rsidR="002866A5" w:rsidRDefault="002866A5" w:rsidP="000A3D47"/>
    <w:p w14:paraId="6E745708" w14:textId="77777777" w:rsidR="008E162C" w:rsidRDefault="008E162C" w:rsidP="000A3D47"/>
    <w:sectPr w:rsidR="008E162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ACFEC5" w14:textId="77777777" w:rsidR="005B5938" w:rsidRDefault="005B5938" w:rsidP="000A3D47">
      <w:pPr>
        <w:spacing w:after="0" w:line="240" w:lineRule="auto"/>
      </w:pPr>
      <w:r>
        <w:separator/>
      </w:r>
    </w:p>
  </w:endnote>
  <w:endnote w:type="continuationSeparator" w:id="0">
    <w:p w14:paraId="2031E64F" w14:textId="77777777" w:rsidR="005B5938" w:rsidRDefault="005B5938" w:rsidP="000A3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48957A" w14:textId="77777777" w:rsidR="000A3D47" w:rsidRDefault="000A3D47" w:rsidP="000A3D47">
    <w:pPr>
      <w:spacing w:after="0"/>
      <w:jc w:val="center"/>
      <w:rPr>
        <w:rFonts w:ascii="Arial" w:hAnsi="Arial" w:cs="Arial"/>
      </w:rPr>
    </w:pPr>
    <w:r>
      <w:rPr>
        <w:rFonts w:ascii="Arial" w:hAnsi="Arial" w:cs="Arial"/>
        <w:noProof/>
        <w:lang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D5FDEC" wp14:editId="6D9729F9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4846320" cy="0"/>
              <wp:effectExtent l="0" t="12700" r="17780" b="1270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46320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88E9174" id="Conector recto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9pt,9.05pt" to="398.5pt,9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" strokecolor="#c00000" strokeweight="1.5pt">
              <v:stroke joinstyle="miter"/>
            </v:line>
          </w:pict>
        </mc:Fallback>
      </mc:AlternateContent>
    </w:r>
  </w:p>
  <w:p w14:paraId="449B46AE" w14:textId="78DBFD74" w:rsidR="000A3D47" w:rsidRPr="0073288E" w:rsidRDefault="000A3D47" w:rsidP="00D9133F">
    <w:pPr>
      <w:spacing w:after="0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</w:t>
    </w:r>
  </w:p>
  <w:p w14:paraId="297ABEA8" w14:textId="7E014EDC" w:rsidR="000A3D47" w:rsidRPr="000A3D47" w:rsidRDefault="000A3D47" w:rsidP="000A3D47">
    <w:pPr>
      <w:tabs>
        <w:tab w:val="center" w:pos="4550"/>
        <w:tab w:val="left" w:pos="5818"/>
      </w:tabs>
      <w:rPr>
        <w:color w:val="BF8F00" w:themeColor="accent4" w:themeShade="BF"/>
        <w:sz w:val="16"/>
        <w:szCs w:val="24"/>
      </w:rPr>
    </w:pPr>
    <w:r w:rsidRPr="00335C16">
      <w:rPr>
        <w:color w:val="BF8F00" w:themeColor="accent4" w:themeShade="BF"/>
        <w:spacing w:val="60"/>
        <w:sz w:val="16"/>
        <w:szCs w:val="24"/>
        <w:lang w:val="es-ES"/>
      </w:rPr>
      <w:t>Página</w:t>
    </w:r>
    <w:r w:rsidRPr="00335C16">
      <w:rPr>
        <w:color w:val="BF8F00" w:themeColor="accent4" w:themeShade="BF"/>
        <w:sz w:val="16"/>
        <w:szCs w:val="24"/>
        <w:lang w:val="es-ES"/>
      </w:rPr>
      <w:t xml:space="preserve">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PAGE 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9060C7" w:rsidRPr="009060C7">
      <w:rPr>
        <w:noProof/>
        <w:color w:val="BF8F00" w:themeColor="accent4" w:themeShade="BF"/>
        <w:sz w:val="16"/>
        <w:szCs w:val="24"/>
        <w:lang w:val="es-ES"/>
      </w:rPr>
      <w:t>1</w:t>
    </w:r>
    <w:r w:rsidRPr="00335C16">
      <w:rPr>
        <w:color w:val="BF8F00" w:themeColor="accent4" w:themeShade="BF"/>
        <w:sz w:val="16"/>
        <w:szCs w:val="24"/>
      </w:rPr>
      <w:fldChar w:fldCharType="end"/>
    </w:r>
    <w:r w:rsidRPr="00335C16">
      <w:rPr>
        <w:color w:val="BF8F00" w:themeColor="accent4" w:themeShade="BF"/>
        <w:sz w:val="16"/>
        <w:szCs w:val="24"/>
        <w:lang w:val="es-ES"/>
      </w:rPr>
      <w:t xml:space="preserve"> |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NUMPAGES  \* Arabic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9060C7" w:rsidRPr="009060C7">
      <w:rPr>
        <w:noProof/>
        <w:color w:val="BF8F00" w:themeColor="accent4" w:themeShade="BF"/>
        <w:sz w:val="16"/>
        <w:szCs w:val="24"/>
        <w:lang w:val="es-ES"/>
      </w:rPr>
      <w:t>6</w:t>
    </w:r>
    <w:r w:rsidRPr="00335C16">
      <w:rPr>
        <w:color w:val="BF8F00" w:themeColor="accent4" w:themeShade="BF"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DAC27C" w14:textId="77777777" w:rsidR="005B5938" w:rsidRDefault="005B5938" w:rsidP="000A3D47">
      <w:pPr>
        <w:spacing w:after="0" w:line="240" w:lineRule="auto"/>
      </w:pPr>
      <w:r>
        <w:separator/>
      </w:r>
    </w:p>
  </w:footnote>
  <w:footnote w:type="continuationSeparator" w:id="0">
    <w:p w14:paraId="49BAEFC9" w14:textId="77777777" w:rsidR="005B5938" w:rsidRDefault="005B5938" w:rsidP="000A3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6189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63"/>
      <w:gridCol w:w="2705"/>
      <w:gridCol w:w="2540"/>
      <w:gridCol w:w="1418"/>
      <w:gridCol w:w="1588"/>
    </w:tblGrid>
    <w:tr w:rsidR="00D9133F" w:rsidRPr="00D9133F" w14:paraId="4183225E" w14:textId="77777777" w:rsidTr="00D9133F">
      <w:trPr>
        <w:trHeight w:val="702"/>
        <w:jc w:val="center"/>
      </w:trPr>
      <w:tc>
        <w:tcPr>
          <w:tcW w:w="2263" w:type="dxa"/>
          <w:vMerge w:val="restart"/>
          <w:shd w:val="clear" w:color="auto" w:fill="auto"/>
          <w:vAlign w:val="center"/>
        </w:tcPr>
        <w:p w14:paraId="3B0C01EF" w14:textId="77777777" w:rsidR="00D9133F" w:rsidRPr="00D3340E" w:rsidRDefault="00D9133F" w:rsidP="00D9133F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55EBC9EB" wp14:editId="51AE323C">
                <wp:simplePos x="0" y="0"/>
                <wp:positionH relativeFrom="column">
                  <wp:posOffset>-29845</wp:posOffset>
                </wp:positionH>
                <wp:positionV relativeFrom="paragraph">
                  <wp:posOffset>24765</wp:posOffset>
                </wp:positionV>
                <wp:extent cx="1333500" cy="723900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45" w:type="dxa"/>
          <w:gridSpan w:val="2"/>
          <w:shd w:val="clear" w:color="auto" w:fill="auto"/>
          <w:vAlign w:val="center"/>
        </w:tcPr>
        <w:p w14:paraId="56B2F801" w14:textId="2FF94B14" w:rsidR="00D9133F" w:rsidRPr="00D3340E" w:rsidRDefault="00D9133F" w:rsidP="00D9133F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D9133F">
            <w:rPr>
              <w:rFonts w:ascii="Arial" w:hAnsi="Arial" w:cs="Arial"/>
              <w:b/>
              <w:bCs/>
              <w:sz w:val="32"/>
              <w:szCs w:val="32"/>
            </w:rPr>
            <w:t>PROCEDMIENTO DE MANTENIMIENTO EQUIPOS GASODOMESTRICOS</w:t>
          </w:r>
        </w:p>
      </w:tc>
      <w:tc>
        <w:tcPr>
          <w:tcW w:w="1418" w:type="dxa"/>
          <w:vMerge w:val="restart"/>
          <w:shd w:val="clear" w:color="auto" w:fill="auto"/>
          <w:vAlign w:val="center"/>
        </w:tcPr>
        <w:p w14:paraId="2AE11176" w14:textId="77777777" w:rsidR="00D9133F" w:rsidRPr="00D3340E" w:rsidRDefault="00D9133F" w:rsidP="00D9133F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1767A034" w14:textId="7FBD984A" w:rsidR="00D9133F" w:rsidRPr="002B1134" w:rsidRDefault="00D9133F" w:rsidP="00D9133F">
          <w:pPr>
            <w:pStyle w:val="Encabezado"/>
            <w:ind w:left="64" w:right="-64"/>
            <w:rPr>
              <w:rFonts w:ascii="Arial" w:hAnsi="Arial" w:cs="Arial"/>
              <w:lang w:val="en-US"/>
            </w:rPr>
          </w:pPr>
          <w:r w:rsidRPr="002B1134">
            <w:rPr>
              <w:rFonts w:ascii="Arial" w:hAnsi="Arial" w:cs="Arial"/>
              <w:sz w:val="18"/>
              <w:szCs w:val="16"/>
              <w:lang w:val="en-US"/>
            </w:rPr>
            <w:t xml:space="preserve">CODIGO: </w:t>
          </w:r>
          <w:r w:rsidRPr="00D9133F">
            <w:rPr>
              <w:rFonts w:ascii="Arial" w:hAnsi="Arial" w:cs="Arial"/>
              <w:sz w:val="18"/>
              <w:szCs w:val="16"/>
              <w:lang w:val="en-US"/>
            </w:rPr>
            <w:t>SGI-MAN-PRO-002</w:t>
          </w:r>
        </w:p>
      </w:tc>
      <w:tc>
        <w:tcPr>
          <w:tcW w:w="1588" w:type="dxa"/>
          <w:vMerge w:val="restart"/>
          <w:vAlign w:val="center"/>
        </w:tcPr>
        <w:p w14:paraId="7D79B78A" w14:textId="77777777" w:rsidR="00D9133F" w:rsidRPr="002B1134" w:rsidRDefault="00D9133F" w:rsidP="00D9133F">
          <w:pPr>
            <w:pStyle w:val="Encabezado"/>
            <w:jc w:val="center"/>
            <w:rPr>
              <w:rFonts w:ascii="Arial" w:hAnsi="Arial" w:cs="Arial"/>
              <w:sz w:val="18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22C9F6EC" wp14:editId="39128E62">
                <wp:simplePos x="0" y="0"/>
                <wp:positionH relativeFrom="column">
                  <wp:posOffset>-4445</wp:posOffset>
                </wp:positionH>
                <wp:positionV relativeFrom="paragraph">
                  <wp:posOffset>-40005</wp:posOffset>
                </wp:positionV>
                <wp:extent cx="876300" cy="850900"/>
                <wp:effectExtent l="0" t="0" r="0" b="0"/>
                <wp:wrapNone/>
                <wp:docPr id="1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D9133F" w:rsidRPr="00D3340E" w14:paraId="7F28A917" w14:textId="77777777" w:rsidTr="00D9133F">
      <w:tblPrEx>
        <w:tblCellMar>
          <w:left w:w="108" w:type="dxa"/>
          <w:right w:w="108" w:type="dxa"/>
        </w:tblCellMar>
      </w:tblPrEx>
      <w:trPr>
        <w:trHeight w:val="382"/>
        <w:jc w:val="center"/>
      </w:trPr>
      <w:tc>
        <w:tcPr>
          <w:tcW w:w="2263" w:type="dxa"/>
          <w:vMerge/>
          <w:shd w:val="clear" w:color="auto" w:fill="auto"/>
          <w:vAlign w:val="center"/>
        </w:tcPr>
        <w:p w14:paraId="5ECA4617" w14:textId="77777777" w:rsidR="00D9133F" w:rsidRPr="002B1134" w:rsidRDefault="00D9133F" w:rsidP="00D9133F">
          <w:pPr>
            <w:pStyle w:val="Encabezado"/>
            <w:jc w:val="center"/>
            <w:rPr>
              <w:rFonts w:ascii="Arial" w:hAnsi="Arial" w:cs="Arial"/>
              <w:lang w:val="en-US"/>
            </w:rPr>
          </w:pPr>
        </w:p>
      </w:tc>
      <w:tc>
        <w:tcPr>
          <w:tcW w:w="2705" w:type="dxa"/>
          <w:shd w:val="clear" w:color="auto" w:fill="auto"/>
          <w:vAlign w:val="center"/>
        </w:tcPr>
        <w:p w14:paraId="10EFC74F" w14:textId="77777777" w:rsidR="00D9133F" w:rsidRPr="00D3340E" w:rsidRDefault="00D9133F" w:rsidP="00D9133F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540" w:type="dxa"/>
          <w:shd w:val="clear" w:color="auto" w:fill="auto"/>
          <w:vAlign w:val="center"/>
        </w:tcPr>
        <w:p w14:paraId="59BDEB34" w14:textId="77777777" w:rsidR="00D9133F" w:rsidRPr="00D3340E" w:rsidRDefault="00D9133F" w:rsidP="00D9133F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418" w:type="dxa"/>
          <w:vMerge/>
          <w:shd w:val="clear" w:color="auto" w:fill="auto"/>
          <w:vAlign w:val="center"/>
        </w:tcPr>
        <w:p w14:paraId="65F50AFF" w14:textId="77777777" w:rsidR="00D9133F" w:rsidRPr="00D3340E" w:rsidRDefault="00D9133F" w:rsidP="00D9133F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588" w:type="dxa"/>
          <w:vMerge/>
          <w:vAlign w:val="center"/>
        </w:tcPr>
        <w:p w14:paraId="04B3C211" w14:textId="77777777" w:rsidR="00D9133F" w:rsidRPr="00D3340E" w:rsidRDefault="00D9133F" w:rsidP="00D9133F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064E258A" w14:textId="77777777" w:rsidR="000A3D47" w:rsidRDefault="000A3D4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6A5"/>
    <w:rsid w:val="000A3D47"/>
    <w:rsid w:val="002866A5"/>
    <w:rsid w:val="005B5938"/>
    <w:rsid w:val="00685CCB"/>
    <w:rsid w:val="006D6FBA"/>
    <w:rsid w:val="006F0252"/>
    <w:rsid w:val="008E162C"/>
    <w:rsid w:val="009060C7"/>
    <w:rsid w:val="009C466F"/>
    <w:rsid w:val="00D9133F"/>
    <w:rsid w:val="00DE659C"/>
    <w:rsid w:val="00EE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C42525"/>
  <w15:chartTrackingRefBased/>
  <w15:docId w15:val="{0B5ACBBF-6E73-4561-9771-659DCA67B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866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419"/>
    </w:rPr>
  </w:style>
  <w:style w:type="paragraph" w:styleId="Ttulo3">
    <w:name w:val="heading 3"/>
    <w:basedOn w:val="Normal"/>
    <w:link w:val="Ttulo3Car"/>
    <w:uiPriority w:val="9"/>
    <w:qFormat/>
    <w:rsid w:val="002866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866A5"/>
    <w:rPr>
      <w:rFonts w:ascii="Times New Roman" w:eastAsia="Times New Roman" w:hAnsi="Times New Roman" w:cs="Times New Roman"/>
      <w:b/>
      <w:bCs/>
      <w:sz w:val="36"/>
      <w:szCs w:val="36"/>
      <w:lang w:eastAsia="es-419"/>
    </w:rPr>
  </w:style>
  <w:style w:type="character" w:customStyle="1" w:styleId="Ttulo3Car">
    <w:name w:val="Título 3 Car"/>
    <w:basedOn w:val="Fuentedeprrafopredeter"/>
    <w:link w:val="Ttulo3"/>
    <w:uiPriority w:val="9"/>
    <w:rsid w:val="002866A5"/>
    <w:rPr>
      <w:rFonts w:ascii="Times New Roman" w:eastAsia="Times New Roman" w:hAnsi="Times New Roman" w:cs="Times New Roman"/>
      <w:b/>
      <w:bCs/>
      <w:sz w:val="27"/>
      <w:szCs w:val="27"/>
      <w:lang w:eastAsia="es-419"/>
    </w:rPr>
  </w:style>
  <w:style w:type="character" w:styleId="Hipervnculo">
    <w:name w:val="Hyperlink"/>
    <w:basedOn w:val="Fuentedeprrafopredeter"/>
    <w:uiPriority w:val="99"/>
    <w:semiHidden/>
    <w:unhideWhenUsed/>
    <w:rsid w:val="002866A5"/>
    <w:rPr>
      <w:color w:val="0000FF"/>
      <w:u w:val="single"/>
    </w:rPr>
  </w:style>
  <w:style w:type="character" w:customStyle="1" w:styleId="textpagecounter">
    <w:name w:val="text_page_counter"/>
    <w:basedOn w:val="Fuentedeprrafopredeter"/>
    <w:rsid w:val="002866A5"/>
  </w:style>
  <w:style w:type="paragraph" w:styleId="NormalWeb">
    <w:name w:val="Normal (Web)"/>
    <w:basedOn w:val="Normal"/>
    <w:uiPriority w:val="99"/>
    <w:semiHidden/>
    <w:unhideWhenUsed/>
    <w:rsid w:val="002866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419"/>
    </w:rPr>
  </w:style>
  <w:style w:type="table" w:styleId="Tablaconcuadrcula">
    <w:name w:val="Table Grid"/>
    <w:basedOn w:val="Tablanormal"/>
    <w:uiPriority w:val="59"/>
    <w:rsid w:val="008E1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aliases w:val="h"/>
    <w:basedOn w:val="Normal"/>
    <w:link w:val="EncabezadoCar"/>
    <w:unhideWhenUsed/>
    <w:rsid w:val="000A3D4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rsid w:val="000A3D47"/>
  </w:style>
  <w:style w:type="paragraph" w:styleId="Piedepgina">
    <w:name w:val="footer"/>
    <w:basedOn w:val="Normal"/>
    <w:link w:val="PiedepginaCar"/>
    <w:uiPriority w:val="99"/>
    <w:unhideWhenUsed/>
    <w:rsid w:val="000A3D4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3D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4196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435245253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115904778">
                  <w:marLeft w:val="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  <w:divsChild>
                    <w:div w:id="9054558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2E8F0"/>
                        <w:left w:val="single" w:sz="2" w:space="0" w:color="E2E8F0"/>
                        <w:bottom w:val="single" w:sz="2" w:space="0" w:color="E2E8F0"/>
                        <w:right w:val="single" w:sz="2" w:space="0" w:color="E2E8F0"/>
                      </w:divBdr>
                      <w:divsChild>
                        <w:div w:id="570388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2E8F0"/>
                            <w:left w:val="single" w:sz="2" w:space="0" w:color="E2E8F0"/>
                            <w:bottom w:val="single" w:sz="2" w:space="0" w:color="E2E8F0"/>
                            <w:right w:val="single" w:sz="2" w:space="0" w:color="E2E8F0"/>
                          </w:divBdr>
                          <w:divsChild>
                            <w:div w:id="1083407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2E8F0"/>
                                <w:left w:val="single" w:sz="2" w:space="0" w:color="E2E8F0"/>
                                <w:bottom w:val="single" w:sz="2" w:space="0" w:color="E2E8F0"/>
                                <w:right w:val="single" w:sz="2" w:space="0" w:color="E2E8F0"/>
                              </w:divBdr>
                              <w:divsChild>
                                <w:div w:id="189446619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single" w:sz="2" w:space="0" w:color="E2E8F0"/>
                                    <w:left w:val="single" w:sz="2" w:space="0" w:color="E2E8F0"/>
                                    <w:bottom w:val="single" w:sz="2" w:space="0" w:color="E2E8F0"/>
                                    <w:right w:val="single" w:sz="2" w:space="0" w:color="E2E8F0"/>
                                  </w:divBdr>
                                  <w:divsChild>
                                    <w:div w:id="199515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2E8F0"/>
                                        <w:left w:val="single" w:sz="2" w:space="0" w:color="E2E8F0"/>
                                        <w:bottom w:val="single" w:sz="2" w:space="0" w:color="E2E8F0"/>
                                        <w:right w:val="single" w:sz="2" w:space="0" w:color="E2E8F0"/>
                                      </w:divBdr>
                                    </w:div>
                                    <w:div w:id="409042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2E8F0"/>
                                        <w:left w:val="single" w:sz="2" w:space="8" w:color="E2E8F0"/>
                                        <w:bottom w:val="single" w:sz="2" w:space="0" w:color="E2E8F0"/>
                                        <w:right w:val="single" w:sz="2" w:space="8" w:color="E2E8F0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92394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2E8F0"/>
                            <w:left w:val="single" w:sz="2" w:space="0" w:color="E2E8F0"/>
                            <w:bottom w:val="single" w:sz="2" w:space="0" w:color="E2E8F0"/>
                            <w:right w:val="single" w:sz="2" w:space="0" w:color="E2E8F0"/>
                          </w:divBdr>
                          <w:divsChild>
                            <w:div w:id="32790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2E8F0"/>
                                <w:left w:val="single" w:sz="2" w:space="0" w:color="E2E8F0"/>
                                <w:bottom w:val="single" w:sz="2" w:space="0" w:color="E2E8F0"/>
                                <w:right w:val="single" w:sz="2" w:space="0" w:color="E2E8F0"/>
                              </w:divBdr>
                            </w:div>
                            <w:div w:id="1707215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2E8F0"/>
                                <w:left w:val="single" w:sz="2" w:space="0" w:color="E2E8F0"/>
                                <w:bottom w:val="single" w:sz="2" w:space="0" w:color="E2E8F0"/>
                                <w:right w:val="single" w:sz="2" w:space="0" w:color="E2E8F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51666040">
                  <w:marLeft w:val="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  <w:divsChild>
                    <w:div w:id="7855857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2E8F0"/>
                        <w:left w:val="single" w:sz="2" w:space="0" w:color="E2E8F0"/>
                        <w:bottom w:val="single" w:sz="2" w:space="0" w:color="E2E8F0"/>
                        <w:right w:val="single" w:sz="2" w:space="0" w:color="E2E8F0"/>
                      </w:divBdr>
                      <w:divsChild>
                        <w:div w:id="213667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2E8F0"/>
                            <w:left w:val="single" w:sz="2" w:space="0" w:color="E2E8F0"/>
                            <w:bottom w:val="single" w:sz="2" w:space="0" w:color="E2E8F0"/>
                            <w:right w:val="single" w:sz="2" w:space="0" w:color="E2E8F0"/>
                          </w:divBdr>
                          <w:divsChild>
                            <w:div w:id="52799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2E8F0"/>
                                <w:left w:val="single" w:sz="2" w:space="0" w:color="E2E8F0"/>
                                <w:bottom w:val="single" w:sz="2" w:space="0" w:color="E2E8F0"/>
                                <w:right w:val="single" w:sz="2" w:space="0" w:color="E2E8F0"/>
                              </w:divBdr>
                            </w:div>
                            <w:div w:id="1588074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2E8F0"/>
                                <w:left w:val="single" w:sz="2" w:space="0" w:color="E2E8F0"/>
                                <w:bottom w:val="single" w:sz="2" w:space="0" w:color="E2E8F0"/>
                                <w:right w:val="single" w:sz="2" w:space="0" w:color="E2E8F0"/>
                              </w:divBdr>
                            </w:div>
                            <w:div w:id="1430079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2E8F0"/>
                                <w:left w:val="single" w:sz="2" w:space="0" w:color="E2E8F0"/>
                                <w:bottom w:val="single" w:sz="2" w:space="0" w:color="E2E8F0"/>
                                <w:right w:val="single" w:sz="2" w:space="0" w:color="E2E8F0"/>
                              </w:divBdr>
                            </w:div>
                            <w:div w:id="1442530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2E8F0"/>
                                <w:left w:val="single" w:sz="2" w:space="0" w:color="E2E8F0"/>
                                <w:bottom w:val="single" w:sz="2" w:space="0" w:color="E2E8F0"/>
                                <w:right w:val="single" w:sz="2" w:space="0" w:color="E2E8F0"/>
                              </w:divBdr>
                            </w:div>
                            <w:div w:id="196203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2E8F0"/>
                                <w:left w:val="single" w:sz="2" w:space="0" w:color="E2E8F0"/>
                                <w:bottom w:val="single" w:sz="2" w:space="0" w:color="E2E8F0"/>
                                <w:right w:val="single" w:sz="2" w:space="0" w:color="E2E8F0"/>
                              </w:divBdr>
                            </w:div>
                            <w:div w:id="2112553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2E8F0"/>
                                <w:left w:val="single" w:sz="2" w:space="0" w:color="E2E8F0"/>
                                <w:bottom w:val="single" w:sz="2" w:space="0" w:color="E2E8F0"/>
                                <w:right w:val="single" w:sz="2" w:space="0" w:color="E2E8F0"/>
                              </w:divBdr>
                            </w:div>
                            <w:div w:id="151454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2E8F0"/>
                                <w:left w:val="single" w:sz="2" w:space="0" w:color="E2E8F0"/>
                                <w:bottom w:val="single" w:sz="2" w:space="0" w:color="E2E8F0"/>
                                <w:right w:val="single" w:sz="2" w:space="0" w:color="E2E8F0"/>
                              </w:divBdr>
                            </w:div>
                            <w:div w:id="123092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2E8F0"/>
                                <w:left w:val="single" w:sz="2" w:space="0" w:color="E2E8F0"/>
                                <w:bottom w:val="single" w:sz="2" w:space="0" w:color="E2E8F0"/>
                                <w:right w:val="single" w:sz="2" w:space="0" w:color="E2E8F0"/>
                              </w:divBdr>
                            </w:div>
                            <w:div w:id="2092459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2E8F0"/>
                                <w:left w:val="single" w:sz="2" w:space="0" w:color="E2E8F0"/>
                                <w:bottom w:val="single" w:sz="2" w:space="0" w:color="E2E8F0"/>
                                <w:right w:val="single" w:sz="2" w:space="0" w:color="E2E8F0"/>
                              </w:divBdr>
                            </w:div>
                          </w:divsChild>
                        </w:div>
                        <w:div w:id="64003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2E8F0"/>
                            <w:left w:val="single" w:sz="2" w:space="0" w:color="E2E8F0"/>
                            <w:bottom w:val="single" w:sz="2" w:space="0" w:color="E2E8F0"/>
                            <w:right w:val="single" w:sz="2" w:space="0" w:color="E2E8F0"/>
                          </w:divBdr>
                        </w:div>
                      </w:divsChild>
                    </w:div>
                  </w:divsChild>
                </w:div>
                <w:div w:id="614677720">
                  <w:marLeft w:val="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  <w:divsChild>
                    <w:div w:id="19081773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2E8F0"/>
                        <w:left w:val="single" w:sz="2" w:space="0" w:color="E2E8F0"/>
                        <w:bottom w:val="single" w:sz="2" w:space="0" w:color="E2E8F0"/>
                        <w:right w:val="single" w:sz="2" w:space="0" w:color="E2E8F0"/>
                      </w:divBdr>
                      <w:divsChild>
                        <w:div w:id="1531070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2E8F0"/>
                            <w:left w:val="single" w:sz="2" w:space="0" w:color="E2E8F0"/>
                            <w:bottom w:val="single" w:sz="2" w:space="0" w:color="E2E8F0"/>
                            <w:right w:val="single" w:sz="2" w:space="0" w:color="E2E8F0"/>
                          </w:divBdr>
                        </w:div>
                      </w:divsChild>
                    </w:div>
                  </w:divsChild>
                </w:div>
                <w:div w:id="1581208501">
                  <w:marLeft w:val="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  <w:divsChild>
                    <w:div w:id="13003785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2E8F0"/>
                        <w:left w:val="single" w:sz="2" w:space="0" w:color="E2E8F0"/>
                        <w:bottom w:val="single" w:sz="2" w:space="0" w:color="E2E8F0"/>
                        <w:right w:val="single" w:sz="2" w:space="0" w:color="E2E8F0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1298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Silva</dc:creator>
  <cp:keywords/>
  <dc:description/>
  <cp:lastModifiedBy>YENNY VIVIANA CARDOZO DOMINGUEZ</cp:lastModifiedBy>
  <cp:revision>4</cp:revision>
  <dcterms:created xsi:type="dcterms:W3CDTF">2021-05-27T00:34:00Z</dcterms:created>
  <dcterms:modified xsi:type="dcterms:W3CDTF">2022-11-23T04:35:00Z</dcterms:modified>
</cp:coreProperties>
</file>