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7ABC6" w14:textId="23F8DA61" w:rsidR="007E7F19" w:rsidRDefault="007E7F19" w:rsidP="003E331B">
      <w:pPr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sz w:val="24"/>
          <w:szCs w:val="24"/>
        </w:rPr>
        <w:t>A continuación, se presenta   recomendaciones técnicas de seguridad para el manejo del gas propano.</w:t>
      </w:r>
    </w:p>
    <w:p w14:paraId="1CDE7C21" w14:textId="77777777" w:rsidR="00AB5FFD" w:rsidRPr="00BE4B57" w:rsidRDefault="00AB5FFD" w:rsidP="003E331B">
      <w:pPr>
        <w:jc w:val="both"/>
        <w:rPr>
          <w:rFonts w:ascii="Arial" w:hAnsi="Arial" w:cs="Arial"/>
          <w:sz w:val="24"/>
          <w:szCs w:val="24"/>
        </w:rPr>
      </w:pPr>
    </w:p>
    <w:p w14:paraId="6BB97369" w14:textId="77777777" w:rsidR="003E331B" w:rsidRDefault="007E7F19" w:rsidP="003E331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sz w:val="24"/>
          <w:szCs w:val="24"/>
        </w:rPr>
        <w:t>INTRODUCCIÓN</w:t>
      </w:r>
    </w:p>
    <w:p w14:paraId="044DDB26" w14:textId="77777777" w:rsidR="003E331B" w:rsidRDefault="003E331B" w:rsidP="003E331B">
      <w:pPr>
        <w:pStyle w:val="Prrafodelista"/>
        <w:ind w:left="405"/>
        <w:jc w:val="both"/>
        <w:rPr>
          <w:rFonts w:ascii="Arial" w:hAnsi="Arial" w:cs="Arial"/>
          <w:sz w:val="24"/>
          <w:szCs w:val="24"/>
        </w:rPr>
      </w:pPr>
    </w:p>
    <w:p w14:paraId="3C53E09E" w14:textId="72E3DC00" w:rsidR="007E7F19" w:rsidRDefault="007E7F19" w:rsidP="003E331B">
      <w:pPr>
        <w:pStyle w:val="Prrafodelista"/>
        <w:ind w:left="405"/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sz w:val="24"/>
          <w:szCs w:val="24"/>
        </w:rPr>
        <w:t>El propano es un gas altamente inflamable, de baja toxicidad. Es un asfixiante simple que desplaza al oxígeno en un ambiente contaminado. Tras la inhalación de grandes cantidades puede producir: sueño, mareos, euforia, ansiedad, espasmos e incluso narcosis.</w:t>
      </w:r>
    </w:p>
    <w:p w14:paraId="2A7BE5AF" w14:textId="77777777" w:rsidR="003732C5" w:rsidRPr="00BE4B57" w:rsidRDefault="003732C5" w:rsidP="003E331B">
      <w:pPr>
        <w:pStyle w:val="Prrafodelista"/>
        <w:ind w:left="405"/>
        <w:jc w:val="both"/>
        <w:rPr>
          <w:rFonts w:ascii="Arial" w:hAnsi="Arial" w:cs="Arial"/>
          <w:sz w:val="24"/>
          <w:szCs w:val="24"/>
        </w:rPr>
      </w:pPr>
    </w:p>
    <w:p w14:paraId="223443FC" w14:textId="73616936" w:rsidR="007E7F19" w:rsidRDefault="003732C5" w:rsidP="003E331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sz w:val="24"/>
          <w:szCs w:val="24"/>
        </w:rPr>
        <w:t>NO AFECTA LA PIEL NI LOS OJOS. ALGUNAS PROPIEDADES IMPORTANTES SON:</w:t>
      </w:r>
    </w:p>
    <w:p w14:paraId="51CB34D4" w14:textId="77777777" w:rsidR="003732C5" w:rsidRPr="00BE4B57" w:rsidRDefault="003732C5" w:rsidP="003732C5">
      <w:pPr>
        <w:pStyle w:val="Prrafodelista"/>
        <w:ind w:left="405"/>
        <w:jc w:val="both"/>
        <w:rPr>
          <w:rFonts w:ascii="Arial" w:hAnsi="Arial" w:cs="Arial"/>
          <w:sz w:val="24"/>
          <w:szCs w:val="24"/>
        </w:rPr>
      </w:pPr>
    </w:p>
    <w:p w14:paraId="0EAD4F09" w14:textId="79E9F689" w:rsidR="007E7F19" w:rsidRPr="00BE4B57" w:rsidRDefault="007E7F19" w:rsidP="003E331B">
      <w:pPr>
        <w:ind w:left="45"/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b/>
          <w:bCs/>
          <w:sz w:val="24"/>
          <w:szCs w:val="24"/>
        </w:rPr>
        <w:t>Punto de inflamación: -</w:t>
      </w:r>
      <w:r w:rsidRPr="00BE4B57">
        <w:rPr>
          <w:rFonts w:ascii="Arial" w:hAnsi="Arial" w:cs="Arial"/>
          <w:sz w:val="24"/>
          <w:szCs w:val="24"/>
        </w:rPr>
        <w:t>104°C</w:t>
      </w:r>
    </w:p>
    <w:p w14:paraId="6D91C9A7" w14:textId="1FA3DBC9" w:rsidR="007E7F19" w:rsidRPr="00BE4B57" w:rsidRDefault="007E7F19" w:rsidP="003E331B">
      <w:pPr>
        <w:ind w:left="45"/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b/>
          <w:bCs/>
          <w:sz w:val="24"/>
          <w:szCs w:val="24"/>
        </w:rPr>
        <w:t>Temperatura de autoignición</w:t>
      </w:r>
      <w:r w:rsidRPr="00BE4B57">
        <w:rPr>
          <w:rFonts w:ascii="Arial" w:hAnsi="Arial" w:cs="Arial"/>
          <w:sz w:val="24"/>
          <w:szCs w:val="24"/>
        </w:rPr>
        <w:t>: 450 °C.</w:t>
      </w:r>
    </w:p>
    <w:p w14:paraId="4F7FEB3C" w14:textId="77777777" w:rsidR="007E7F19" w:rsidRPr="00BE4B57" w:rsidRDefault="007E7F19" w:rsidP="003E331B">
      <w:pPr>
        <w:ind w:left="45"/>
        <w:jc w:val="both"/>
        <w:rPr>
          <w:rFonts w:ascii="Arial" w:hAnsi="Arial" w:cs="Arial"/>
          <w:b/>
          <w:bCs/>
          <w:sz w:val="24"/>
          <w:szCs w:val="24"/>
        </w:rPr>
      </w:pPr>
      <w:r w:rsidRPr="00BE4B57">
        <w:rPr>
          <w:rFonts w:ascii="Arial" w:hAnsi="Arial" w:cs="Arial"/>
          <w:b/>
          <w:bCs/>
          <w:sz w:val="24"/>
          <w:szCs w:val="24"/>
        </w:rPr>
        <w:t>Límites de explosividad</w:t>
      </w:r>
      <w:r w:rsidRPr="00BE4B57">
        <w:rPr>
          <w:rFonts w:ascii="Arial" w:hAnsi="Arial" w:cs="Arial"/>
          <w:sz w:val="24"/>
          <w:szCs w:val="24"/>
        </w:rPr>
        <w:t>: Inferior 2.1%. Superior 9.5 %. Forma mezclas explosivas con el aire entre estas concentraciones.</w:t>
      </w:r>
    </w:p>
    <w:p w14:paraId="61379986" w14:textId="6C3364CA" w:rsidR="007E7F19" w:rsidRPr="00BE4B57" w:rsidRDefault="007E7F19" w:rsidP="003E331B">
      <w:pPr>
        <w:ind w:left="45"/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b/>
          <w:bCs/>
          <w:sz w:val="24"/>
          <w:szCs w:val="24"/>
        </w:rPr>
        <w:t>Límite de exposición ocupacional:</w:t>
      </w:r>
      <w:r w:rsidRPr="00BE4B57">
        <w:rPr>
          <w:rFonts w:ascii="Arial" w:hAnsi="Arial" w:cs="Arial"/>
          <w:sz w:val="24"/>
          <w:szCs w:val="24"/>
        </w:rPr>
        <w:t xml:space="preserve"> Asfixiante simple.</w:t>
      </w:r>
    </w:p>
    <w:p w14:paraId="6226CA0E" w14:textId="0AAE911F" w:rsidR="007E7F19" w:rsidRPr="00BE4B57" w:rsidRDefault="007E7F19" w:rsidP="003E331B">
      <w:pPr>
        <w:ind w:left="45"/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b/>
          <w:bCs/>
          <w:sz w:val="24"/>
          <w:szCs w:val="24"/>
        </w:rPr>
        <w:t>Umbral de olor:</w:t>
      </w:r>
      <w:r w:rsidRPr="00BE4B57">
        <w:rPr>
          <w:rFonts w:ascii="Arial" w:hAnsi="Arial" w:cs="Arial"/>
          <w:sz w:val="24"/>
          <w:szCs w:val="24"/>
        </w:rPr>
        <w:t xml:space="preserve"> Propiedad de advertencia buena cuando contiene mercaptano odorante.</w:t>
      </w:r>
    </w:p>
    <w:p w14:paraId="128B097A" w14:textId="7829E3BE" w:rsidR="007E7F19" w:rsidRPr="00BE4B57" w:rsidRDefault="007E7F19" w:rsidP="003E331B">
      <w:pPr>
        <w:ind w:left="45"/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sz w:val="24"/>
          <w:szCs w:val="24"/>
        </w:rPr>
        <w:t>Los síntomas de la deficiencia de oxígeno son:</w:t>
      </w:r>
    </w:p>
    <w:p w14:paraId="7D1885C6" w14:textId="5D2A203A" w:rsidR="007E7F19" w:rsidRDefault="007E7F19" w:rsidP="003E331B">
      <w:pPr>
        <w:ind w:left="45"/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sz w:val="24"/>
          <w:szCs w:val="24"/>
        </w:rPr>
        <w:t>• Concentraciones del 12 al 16% de oxígeno en el aire: Pulso y respiración acelerados, incoordinación muscular.</w:t>
      </w:r>
    </w:p>
    <w:p w14:paraId="48CB235E" w14:textId="77777777" w:rsidR="000D567A" w:rsidRPr="00BE4B57" w:rsidRDefault="000D567A" w:rsidP="003E331B">
      <w:pPr>
        <w:ind w:left="45"/>
        <w:jc w:val="both"/>
        <w:rPr>
          <w:rFonts w:ascii="Arial" w:hAnsi="Arial" w:cs="Arial"/>
          <w:sz w:val="24"/>
          <w:szCs w:val="24"/>
        </w:rPr>
      </w:pPr>
    </w:p>
    <w:p w14:paraId="4077872A" w14:textId="7A12D865" w:rsidR="000D567A" w:rsidRDefault="007E7F19" w:rsidP="003E331B">
      <w:pPr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sz w:val="24"/>
          <w:szCs w:val="24"/>
        </w:rPr>
        <w:t>• Concentraciones del 10 al 14 % de oxígeno en el aire: euforia, fatiga anormal.</w:t>
      </w:r>
    </w:p>
    <w:p w14:paraId="5FCD2C52" w14:textId="77777777" w:rsidR="000D567A" w:rsidRPr="00BE4B57" w:rsidRDefault="000D567A" w:rsidP="003E331B">
      <w:pPr>
        <w:jc w:val="both"/>
        <w:rPr>
          <w:rFonts w:ascii="Arial" w:hAnsi="Arial" w:cs="Arial"/>
          <w:sz w:val="24"/>
          <w:szCs w:val="24"/>
        </w:rPr>
      </w:pPr>
    </w:p>
    <w:p w14:paraId="6D76BF56" w14:textId="4B79F3F6" w:rsidR="000D567A" w:rsidRDefault="007E7F19" w:rsidP="003E331B">
      <w:pPr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sz w:val="24"/>
          <w:szCs w:val="24"/>
        </w:rPr>
        <w:t>• Concentraciones del 6 al 10% de oxígeno en el aire: Nauseas, vómito, pérdida de conciencia.     • Concentraciones de oxígeno por debajo del 6%: convulsiones, colapso y muerte Los anteriores efectos son temporales y cesan con la administración de oxígeno o simplemente respirando bastante aire fresco.</w:t>
      </w:r>
    </w:p>
    <w:p w14:paraId="2090FAE9" w14:textId="74F68E9D" w:rsidR="003732C5" w:rsidRDefault="003732C5" w:rsidP="003E331B">
      <w:pPr>
        <w:jc w:val="both"/>
        <w:rPr>
          <w:rFonts w:ascii="Arial" w:hAnsi="Arial" w:cs="Arial"/>
          <w:sz w:val="24"/>
          <w:szCs w:val="24"/>
        </w:rPr>
      </w:pPr>
    </w:p>
    <w:p w14:paraId="69007A89" w14:textId="7E3A8352" w:rsidR="000D567A" w:rsidRPr="00BE4B57" w:rsidRDefault="000D567A" w:rsidP="003E331B">
      <w:pPr>
        <w:jc w:val="both"/>
        <w:rPr>
          <w:rFonts w:ascii="Arial" w:hAnsi="Arial" w:cs="Arial"/>
          <w:sz w:val="24"/>
          <w:szCs w:val="24"/>
        </w:rPr>
      </w:pPr>
    </w:p>
    <w:p w14:paraId="0AE3C7DF" w14:textId="55A4D206" w:rsidR="007E7F19" w:rsidRDefault="007E7F19" w:rsidP="003E331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b/>
          <w:bCs/>
          <w:sz w:val="24"/>
          <w:szCs w:val="24"/>
        </w:rPr>
        <w:t>CONDICIONES ADECUADAS PARA ALMACENAMIENTO</w:t>
      </w:r>
      <w:r w:rsidRPr="00BE4B57">
        <w:rPr>
          <w:rFonts w:ascii="Arial" w:hAnsi="Arial" w:cs="Arial"/>
          <w:sz w:val="24"/>
          <w:szCs w:val="24"/>
        </w:rPr>
        <w:t>:</w:t>
      </w:r>
    </w:p>
    <w:p w14:paraId="2F1A1350" w14:textId="1663A374" w:rsidR="00EF7809" w:rsidRDefault="00EF7809" w:rsidP="003E331B">
      <w:pPr>
        <w:pStyle w:val="Prrafodelista"/>
        <w:ind w:left="405"/>
        <w:jc w:val="both"/>
        <w:rPr>
          <w:rFonts w:ascii="Arial" w:hAnsi="Arial" w:cs="Arial"/>
          <w:b/>
          <w:bCs/>
          <w:sz w:val="24"/>
          <w:szCs w:val="24"/>
        </w:rPr>
      </w:pPr>
    </w:p>
    <w:p w14:paraId="0782663F" w14:textId="77777777" w:rsidR="00EF7809" w:rsidRPr="00BE4B57" w:rsidRDefault="00EF7809" w:rsidP="003E331B">
      <w:pPr>
        <w:pStyle w:val="Prrafodelista"/>
        <w:ind w:left="405"/>
        <w:jc w:val="both"/>
        <w:rPr>
          <w:rFonts w:ascii="Arial" w:hAnsi="Arial" w:cs="Arial"/>
          <w:sz w:val="24"/>
          <w:szCs w:val="24"/>
        </w:rPr>
      </w:pPr>
    </w:p>
    <w:p w14:paraId="0247C4D7" w14:textId="0BDF5322" w:rsidR="007E7F19" w:rsidRDefault="007E7F19" w:rsidP="003E331B">
      <w:pPr>
        <w:ind w:left="45"/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sz w:val="24"/>
          <w:szCs w:val="24"/>
        </w:rPr>
        <w:t>• Los tanques se deben almacenar en espacios bien ventilados, protegidos del sol, del agua, de la lluvia, de la humedad y de ambientes corrosivos. Debe almacenarse lejos de agentes oxidantes fuertes, como oxígeno, dióxido nitroso, nitratos, percloratos, hipocloritos, etc.</w:t>
      </w:r>
    </w:p>
    <w:p w14:paraId="2F9A8CE6" w14:textId="77777777" w:rsidR="000D567A" w:rsidRPr="00BE4B57" w:rsidRDefault="000D567A" w:rsidP="003E331B">
      <w:pPr>
        <w:ind w:left="45"/>
        <w:jc w:val="both"/>
        <w:rPr>
          <w:rFonts w:ascii="Arial" w:hAnsi="Arial" w:cs="Arial"/>
          <w:sz w:val="24"/>
          <w:szCs w:val="24"/>
        </w:rPr>
      </w:pPr>
    </w:p>
    <w:p w14:paraId="4022173F" w14:textId="1184E605" w:rsidR="000D567A" w:rsidRDefault="007E7F19" w:rsidP="003E331B">
      <w:pPr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sz w:val="24"/>
          <w:szCs w:val="24"/>
        </w:rPr>
        <w:t>• El área de almacenamiento debe ser identificada claramente, libre de obstrucciones y accesible solamente a personal entrenado y autorizado. No debe quedar cerca de áreas muy transitadas.</w:t>
      </w:r>
    </w:p>
    <w:p w14:paraId="2770623A" w14:textId="77777777" w:rsidR="000D567A" w:rsidRPr="00BE4B57" w:rsidRDefault="000D567A" w:rsidP="003E331B">
      <w:pPr>
        <w:jc w:val="both"/>
        <w:rPr>
          <w:rFonts w:ascii="Arial" w:hAnsi="Arial" w:cs="Arial"/>
          <w:sz w:val="24"/>
          <w:szCs w:val="24"/>
        </w:rPr>
      </w:pPr>
    </w:p>
    <w:p w14:paraId="5A592260" w14:textId="1C4D2035" w:rsidR="003A3F35" w:rsidRDefault="007E7F19" w:rsidP="003E331B">
      <w:pPr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sz w:val="24"/>
          <w:szCs w:val="24"/>
        </w:rPr>
        <w:t>• Es imperioso ubicar los tanques en áreas exteriores para minimizar los riesgos.</w:t>
      </w:r>
    </w:p>
    <w:p w14:paraId="6376ACD9" w14:textId="5AD1E11D" w:rsidR="00EC4CA9" w:rsidRDefault="00EC4CA9" w:rsidP="003E331B">
      <w:pPr>
        <w:jc w:val="both"/>
        <w:rPr>
          <w:rFonts w:ascii="Arial" w:hAnsi="Arial" w:cs="Arial"/>
          <w:sz w:val="24"/>
          <w:szCs w:val="24"/>
        </w:rPr>
      </w:pPr>
    </w:p>
    <w:p w14:paraId="6AC3896A" w14:textId="3278F6CE" w:rsidR="000D567A" w:rsidRPr="003E331B" w:rsidRDefault="000D567A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>una hora o a la corrosión ya que en caso de emergencia estas deben mantenerse intactas por un tiempo tal que permita la identificación durante el mayor tiempo posible. Pictograma: Gas inflamable.</w:t>
      </w:r>
    </w:p>
    <w:p w14:paraId="201AF9A0" w14:textId="62B8EA47" w:rsidR="000D567A" w:rsidRPr="003E331B" w:rsidRDefault="000D567A" w:rsidP="003E331B">
      <w:pPr>
        <w:jc w:val="both"/>
        <w:rPr>
          <w:rFonts w:ascii="Arial" w:hAnsi="Arial" w:cs="Arial"/>
          <w:sz w:val="24"/>
          <w:szCs w:val="24"/>
        </w:rPr>
      </w:pPr>
    </w:p>
    <w:p w14:paraId="523ADC2E" w14:textId="23E7388B" w:rsidR="000D567A" w:rsidRDefault="003E331B" w:rsidP="003E331B">
      <w:pPr>
        <w:jc w:val="both"/>
      </w:pPr>
      <w:r>
        <w:rPr>
          <w:noProof/>
        </w:rPr>
        <w:t xml:space="preserve">                                           </w:t>
      </w:r>
      <w:r>
        <w:rPr>
          <w:noProof/>
          <w:lang w:val="es-CO" w:eastAsia="es-CO"/>
        </w:rPr>
        <w:drawing>
          <wp:inline distT="0" distB="0" distL="0" distR="0" wp14:anchorId="7870FC5E" wp14:editId="218E941E">
            <wp:extent cx="2078158" cy="2066925"/>
            <wp:effectExtent l="0" t="0" r="0" b="0"/>
            <wp:docPr id="3" name="Imagen 3" descr="Hazmat clase 3 líquidos inflamables letrero un número de productos  peligrosos, material de punto, diverso, texto, triángulo png | Klipar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azmat clase 3 líquidos inflamables letrero un número de productos  peligrosos, material de punto, diverso, texto, triángulo png | Klipartz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683" cy="2077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</w:t>
      </w:r>
    </w:p>
    <w:p w14:paraId="545C63F2" w14:textId="363D5518" w:rsidR="000D567A" w:rsidRDefault="000D567A" w:rsidP="003E331B">
      <w:pPr>
        <w:jc w:val="both"/>
      </w:pPr>
    </w:p>
    <w:p w14:paraId="13E1CDF2" w14:textId="77777777" w:rsidR="000D567A" w:rsidRDefault="000D567A" w:rsidP="003E331B">
      <w:pPr>
        <w:jc w:val="both"/>
      </w:pPr>
    </w:p>
    <w:p w14:paraId="0794C030" w14:textId="709D9AB8" w:rsidR="003E331B" w:rsidRDefault="000D567A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 xml:space="preserve">UN 1075 Fondo rojo Fondo naranja - Señalización complementaria: La localización de los elementos y equipos de protección contra fuego como extintores, hidrantes y tubería de agua para incendios, debe ser de conocimiento general. Estos elementos deben estar señalizados con color rojo. Los equipos de primeros auxilios, como botiquines, duchas, lavaojos y equipos de protección personal deben estar señalizados con color verde esmeralda. Los planes de emergencia y evacuación deben ser bien diseñados, revisados y actualizados periódicamente. </w:t>
      </w:r>
    </w:p>
    <w:p w14:paraId="69458844" w14:textId="77777777" w:rsidR="003E331B" w:rsidRDefault="003E331B" w:rsidP="003E331B">
      <w:pPr>
        <w:jc w:val="both"/>
        <w:rPr>
          <w:rFonts w:ascii="Arial" w:hAnsi="Arial" w:cs="Arial"/>
          <w:sz w:val="24"/>
          <w:szCs w:val="24"/>
        </w:rPr>
      </w:pPr>
    </w:p>
    <w:p w14:paraId="7024DBFF" w14:textId="49AFF621" w:rsidR="000D567A" w:rsidRPr="003E331B" w:rsidRDefault="003732C5" w:rsidP="003E331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0D567A" w:rsidRPr="003E331B">
        <w:rPr>
          <w:rFonts w:ascii="Arial" w:hAnsi="Arial" w:cs="Arial"/>
          <w:sz w:val="24"/>
          <w:szCs w:val="24"/>
        </w:rPr>
        <w:t xml:space="preserve"> CONDICIONES ADECUADAS PARA EL MANEJO</w:t>
      </w:r>
    </w:p>
    <w:p w14:paraId="0B55102B" w14:textId="60C82FFD" w:rsidR="000D567A" w:rsidRDefault="003732C5" w:rsidP="003E331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0D567A" w:rsidRPr="003E331B">
        <w:rPr>
          <w:rFonts w:ascii="Arial" w:hAnsi="Arial" w:cs="Arial"/>
          <w:sz w:val="24"/>
          <w:szCs w:val="24"/>
        </w:rPr>
        <w:t>.1. RECOMENDACIONES INICIALES</w:t>
      </w:r>
    </w:p>
    <w:p w14:paraId="56716856" w14:textId="77777777" w:rsidR="003E331B" w:rsidRPr="003E331B" w:rsidRDefault="003E331B" w:rsidP="003E331B">
      <w:pPr>
        <w:jc w:val="both"/>
        <w:rPr>
          <w:rFonts w:ascii="Arial" w:hAnsi="Arial" w:cs="Arial"/>
          <w:sz w:val="24"/>
          <w:szCs w:val="24"/>
        </w:rPr>
      </w:pPr>
    </w:p>
    <w:p w14:paraId="6DDFB1F0" w14:textId="6C3E0711" w:rsidR="000D567A" w:rsidRPr="003E331B" w:rsidRDefault="000D567A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>• La manipulación de tanques de gas requiere experiencia y responsabilidad de quienes los utilizan.</w:t>
      </w:r>
    </w:p>
    <w:p w14:paraId="375A9F0B" w14:textId="7E8C8436" w:rsidR="000D567A" w:rsidRPr="003E331B" w:rsidRDefault="000D567A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 xml:space="preserve">• Es necesario conocer todos los aspectos relacionados con el tanque que se maneja: gas contenido, manejo de válvulas, empresa envasadora, etc. </w:t>
      </w:r>
      <w:r w:rsidR="003E331B">
        <w:rPr>
          <w:rFonts w:ascii="Arial" w:hAnsi="Arial" w:cs="Arial"/>
          <w:sz w:val="24"/>
          <w:szCs w:val="24"/>
        </w:rPr>
        <w:t>S</w:t>
      </w:r>
      <w:r w:rsidR="003E331B" w:rsidRPr="003E331B">
        <w:rPr>
          <w:rFonts w:ascii="Arial" w:hAnsi="Arial" w:cs="Arial"/>
          <w:sz w:val="24"/>
          <w:szCs w:val="24"/>
        </w:rPr>
        <w:t xml:space="preserve">istema </w:t>
      </w:r>
      <w:r w:rsidRPr="003E331B">
        <w:rPr>
          <w:rFonts w:ascii="Arial" w:hAnsi="Arial" w:cs="Arial"/>
          <w:sz w:val="24"/>
          <w:szCs w:val="24"/>
        </w:rPr>
        <w:t>recomienda que antes de que el personal en general se disponga a manipular un tanque, se les haga una inducción por parte de expertos en el manejo de estos elementos.</w:t>
      </w:r>
    </w:p>
    <w:p w14:paraId="162AEE07" w14:textId="3B8DC245" w:rsidR="000D567A" w:rsidRPr="003E331B" w:rsidRDefault="000D567A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>• En caso de duda sobre el verdadero contenido de un cilindro, deberá devolverse inmediatamente al proveedor.</w:t>
      </w:r>
    </w:p>
    <w:p w14:paraId="262501E9" w14:textId="4862A489" w:rsidR="000D567A" w:rsidRPr="003E331B" w:rsidRDefault="000D567A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>• No se deberá transferir el gas de un tanque a otro a menos que esta operación sea efectuada por el proveedor</w:t>
      </w:r>
    </w:p>
    <w:p w14:paraId="34BAD830" w14:textId="5713B3F8" w:rsidR="00933515" w:rsidRDefault="000D567A" w:rsidP="00933515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>• No se confíe solo del color del cilindro para identificar el contenido del mismo.</w:t>
      </w:r>
    </w:p>
    <w:p w14:paraId="2649E898" w14:textId="3A25DE7D" w:rsidR="003E331B" w:rsidRPr="00933515" w:rsidRDefault="00933515" w:rsidP="00933515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 xml:space="preserve">• </w:t>
      </w:r>
      <w:r w:rsidR="003732C5" w:rsidRPr="00933515">
        <w:rPr>
          <w:rFonts w:ascii="Arial" w:hAnsi="Arial" w:cs="Arial"/>
          <w:sz w:val="24"/>
          <w:szCs w:val="24"/>
        </w:rPr>
        <w:t xml:space="preserve">Manta anti fuego si aplica </w:t>
      </w:r>
    </w:p>
    <w:p w14:paraId="382808BC" w14:textId="77777777" w:rsidR="003732C5" w:rsidRPr="003732C5" w:rsidRDefault="003732C5" w:rsidP="003732C5">
      <w:pPr>
        <w:pStyle w:val="Prrafodelista"/>
        <w:ind w:left="1440"/>
        <w:rPr>
          <w:rFonts w:ascii="Arial" w:hAnsi="Arial" w:cs="Arial"/>
          <w:sz w:val="24"/>
          <w:szCs w:val="24"/>
        </w:rPr>
      </w:pPr>
    </w:p>
    <w:p w14:paraId="09780DA3" w14:textId="6965DAD2" w:rsidR="000D567A" w:rsidRPr="00933515" w:rsidRDefault="000A4088" w:rsidP="003E331B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3732C5">
        <w:rPr>
          <w:rFonts w:ascii="Arial" w:hAnsi="Arial" w:cs="Arial"/>
          <w:sz w:val="24"/>
          <w:szCs w:val="24"/>
        </w:rPr>
        <w:lastRenderedPageBreak/>
        <w:t>PORCEDIMIENTO DE IN</w:t>
      </w:r>
      <w:r w:rsidR="00933515">
        <w:rPr>
          <w:rFonts w:ascii="Arial" w:hAnsi="Arial" w:cs="Arial"/>
          <w:sz w:val="24"/>
          <w:szCs w:val="24"/>
        </w:rPr>
        <w:t>STALACION DE CILINDROS DE GAS P</w:t>
      </w:r>
      <w:r w:rsidRPr="003732C5">
        <w:rPr>
          <w:rFonts w:ascii="Arial" w:hAnsi="Arial" w:cs="Arial"/>
          <w:sz w:val="24"/>
          <w:szCs w:val="24"/>
        </w:rPr>
        <w:t>R</w:t>
      </w:r>
      <w:r w:rsidR="00933515">
        <w:rPr>
          <w:rFonts w:ascii="Arial" w:hAnsi="Arial" w:cs="Arial"/>
          <w:sz w:val="24"/>
          <w:szCs w:val="24"/>
        </w:rPr>
        <w:t>O</w:t>
      </w:r>
      <w:r w:rsidRPr="003732C5">
        <w:rPr>
          <w:rFonts w:ascii="Arial" w:hAnsi="Arial" w:cs="Arial"/>
          <w:sz w:val="24"/>
          <w:szCs w:val="24"/>
        </w:rPr>
        <w:t xml:space="preserve">PANO </w:t>
      </w:r>
      <w:proofErr w:type="gramStart"/>
      <w:r w:rsidRPr="003732C5">
        <w:rPr>
          <w:rFonts w:ascii="Arial" w:hAnsi="Arial" w:cs="Arial"/>
          <w:sz w:val="24"/>
          <w:szCs w:val="24"/>
        </w:rPr>
        <w:t xml:space="preserve">EN </w:t>
      </w:r>
      <w:r w:rsidR="00933515">
        <w:rPr>
          <w:rFonts w:ascii="Arial" w:hAnsi="Arial" w:cs="Arial"/>
          <w:sz w:val="24"/>
          <w:szCs w:val="24"/>
        </w:rPr>
        <w:t xml:space="preserve"> </w:t>
      </w:r>
      <w:r w:rsidRPr="00933515">
        <w:rPr>
          <w:rFonts w:ascii="Arial" w:hAnsi="Arial" w:cs="Arial"/>
          <w:sz w:val="24"/>
          <w:szCs w:val="24"/>
        </w:rPr>
        <w:t>ESTUFAS</w:t>
      </w:r>
      <w:proofErr w:type="gramEnd"/>
      <w:r w:rsidRPr="00933515">
        <w:rPr>
          <w:rFonts w:ascii="Arial" w:hAnsi="Arial" w:cs="Arial"/>
          <w:sz w:val="24"/>
          <w:szCs w:val="24"/>
        </w:rPr>
        <w:t xml:space="preserve"> INDUSTRIALES</w:t>
      </w:r>
    </w:p>
    <w:p w14:paraId="467B90AE" w14:textId="7A8130E5" w:rsidR="000A4088" w:rsidRPr="003E331B" w:rsidRDefault="000A4088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 xml:space="preserve">Se </w:t>
      </w:r>
      <w:r w:rsidR="00EF7809" w:rsidRPr="003E331B">
        <w:rPr>
          <w:rFonts w:ascii="Arial" w:hAnsi="Arial" w:cs="Arial"/>
          <w:sz w:val="24"/>
          <w:szCs w:val="24"/>
        </w:rPr>
        <w:t xml:space="preserve">debe de encendre la </w:t>
      </w:r>
      <w:r w:rsidRPr="003E331B">
        <w:rPr>
          <w:rFonts w:ascii="Arial" w:hAnsi="Arial" w:cs="Arial"/>
          <w:sz w:val="24"/>
          <w:szCs w:val="24"/>
        </w:rPr>
        <w:t xml:space="preserve">  campana de extracción para </w:t>
      </w:r>
      <w:r w:rsidR="00EF7809" w:rsidRPr="003E331B">
        <w:rPr>
          <w:rFonts w:ascii="Arial" w:hAnsi="Arial" w:cs="Arial"/>
          <w:sz w:val="24"/>
          <w:szCs w:val="24"/>
        </w:rPr>
        <w:t>la instalación de cilindros</w:t>
      </w:r>
      <w:r w:rsidRPr="003E331B">
        <w:rPr>
          <w:rFonts w:ascii="Arial" w:hAnsi="Arial" w:cs="Arial"/>
          <w:sz w:val="24"/>
          <w:szCs w:val="24"/>
        </w:rPr>
        <w:t xml:space="preserve"> para prevenir acumulaciones de gas en el área </w:t>
      </w:r>
      <w:r w:rsidR="00EF7809" w:rsidRPr="003E331B">
        <w:rPr>
          <w:rFonts w:ascii="Arial" w:hAnsi="Arial" w:cs="Arial"/>
          <w:sz w:val="24"/>
          <w:szCs w:val="24"/>
        </w:rPr>
        <w:t>o fugas inadecuadas cerra la llave de bombeo principal</w:t>
      </w:r>
    </w:p>
    <w:p w14:paraId="23BF8614" w14:textId="493DABD0" w:rsidR="00EF7809" w:rsidRPr="003E331B" w:rsidRDefault="00EF7809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>Retirar las mangueras de acoples de seguridad si hay aplica</w:t>
      </w:r>
    </w:p>
    <w:p w14:paraId="75954F04" w14:textId="437AA3AF" w:rsidR="00EF7809" w:rsidRPr="003E331B" w:rsidRDefault="00EF7809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>2 llaves de tubo con a</w:t>
      </w:r>
      <w:r w:rsidR="003E331B">
        <w:rPr>
          <w:rFonts w:ascii="Arial" w:hAnsi="Arial" w:cs="Arial"/>
          <w:sz w:val="24"/>
          <w:szCs w:val="24"/>
        </w:rPr>
        <w:t>isl</w:t>
      </w:r>
      <w:r w:rsidRPr="003E331B">
        <w:rPr>
          <w:rFonts w:ascii="Arial" w:hAnsi="Arial" w:cs="Arial"/>
          <w:sz w:val="24"/>
          <w:szCs w:val="24"/>
        </w:rPr>
        <w:t>amiento de 12 pulgadas</w:t>
      </w:r>
      <w:r w:rsidR="003E331B">
        <w:rPr>
          <w:rFonts w:ascii="Arial" w:hAnsi="Arial" w:cs="Arial"/>
          <w:sz w:val="24"/>
          <w:szCs w:val="24"/>
        </w:rPr>
        <w:t xml:space="preserve"> si aplica</w:t>
      </w:r>
    </w:p>
    <w:p w14:paraId="631D68A3" w14:textId="233FB589" w:rsidR="000A4088" w:rsidRPr="003E331B" w:rsidRDefault="000A4088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>4 cilindros de 100 libras independiente para cada equipo</w:t>
      </w:r>
    </w:p>
    <w:p w14:paraId="1B78CA46" w14:textId="5E241A11" w:rsidR="000A4088" w:rsidRPr="003E331B" w:rsidRDefault="000A4088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>4 mangueras de media independiente para cada equipo</w:t>
      </w:r>
    </w:p>
    <w:p w14:paraId="09DDD834" w14:textId="2A08DB17" w:rsidR="000A4088" w:rsidRPr="003E331B" w:rsidRDefault="000A4088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>4 reguladores de capacidad de 40 libras cada uno independiente para cada equipo junto con sus accesorios</w:t>
      </w:r>
    </w:p>
    <w:p w14:paraId="460A4530" w14:textId="2C690DCB" w:rsidR="000A4088" w:rsidRDefault="000A4088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 xml:space="preserve">Se debe realizar </w:t>
      </w:r>
      <w:r w:rsidR="00EF7809" w:rsidRPr="003E331B">
        <w:rPr>
          <w:rFonts w:ascii="Arial" w:hAnsi="Arial" w:cs="Arial"/>
          <w:sz w:val="24"/>
          <w:szCs w:val="24"/>
        </w:rPr>
        <w:t xml:space="preserve">aislamiento </w:t>
      </w:r>
      <w:r w:rsidR="00246CF0" w:rsidRPr="003E331B">
        <w:rPr>
          <w:rFonts w:ascii="Arial" w:hAnsi="Arial" w:cs="Arial"/>
          <w:sz w:val="24"/>
          <w:szCs w:val="24"/>
        </w:rPr>
        <w:t>eléct</w:t>
      </w:r>
      <w:r w:rsidR="00246CF0">
        <w:rPr>
          <w:rFonts w:ascii="Arial" w:hAnsi="Arial" w:cs="Arial"/>
          <w:sz w:val="24"/>
          <w:szCs w:val="24"/>
        </w:rPr>
        <w:t>r</w:t>
      </w:r>
      <w:r w:rsidR="00246CF0" w:rsidRPr="003E331B">
        <w:rPr>
          <w:rFonts w:ascii="Arial" w:hAnsi="Arial" w:cs="Arial"/>
          <w:sz w:val="24"/>
          <w:szCs w:val="24"/>
        </w:rPr>
        <w:t>ico</w:t>
      </w:r>
      <w:r w:rsidR="00EF7809" w:rsidRPr="003E331B">
        <w:rPr>
          <w:rFonts w:ascii="Arial" w:hAnsi="Arial" w:cs="Arial"/>
          <w:sz w:val="24"/>
          <w:szCs w:val="24"/>
        </w:rPr>
        <w:t xml:space="preserve"> en los puntos </w:t>
      </w:r>
      <w:proofErr w:type="spellStart"/>
      <w:r w:rsidR="00EF7809" w:rsidRPr="003E331B">
        <w:rPr>
          <w:rFonts w:ascii="Arial" w:hAnsi="Arial" w:cs="Arial"/>
          <w:sz w:val="24"/>
          <w:szCs w:val="24"/>
        </w:rPr>
        <w:t>mas</w:t>
      </w:r>
      <w:proofErr w:type="spellEnd"/>
      <w:r w:rsidR="00EF7809" w:rsidRPr="003E331B">
        <w:rPr>
          <w:rFonts w:ascii="Arial" w:hAnsi="Arial" w:cs="Arial"/>
          <w:sz w:val="24"/>
          <w:szCs w:val="24"/>
        </w:rPr>
        <w:t xml:space="preserve"> cercanos de puntos calientes si lo requiere para evitar cualquier clase de chispa se cuenta con </w:t>
      </w:r>
      <w:r w:rsidR="006441F0" w:rsidRPr="003E331B">
        <w:rPr>
          <w:rFonts w:ascii="Arial" w:hAnsi="Arial" w:cs="Arial"/>
          <w:sz w:val="24"/>
          <w:szCs w:val="24"/>
        </w:rPr>
        <w:t>extintores</w:t>
      </w:r>
      <w:r w:rsidR="00EF7809" w:rsidRPr="003E331B">
        <w:rPr>
          <w:rFonts w:ascii="Arial" w:hAnsi="Arial" w:cs="Arial"/>
          <w:sz w:val="24"/>
          <w:szCs w:val="24"/>
        </w:rPr>
        <w:t xml:space="preserve"> de clase</w:t>
      </w:r>
      <w:r w:rsidR="006441F0" w:rsidRPr="003E331B">
        <w:rPr>
          <w:rFonts w:ascii="Arial" w:hAnsi="Arial" w:cs="Arial"/>
          <w:sz w:val="24"/>
          <w:szCs w:val="24"/>
        </w:rPr>
        <w:t xml:space="preserve"> de tipo</w:t>
      </w:r>
      <w:r w:rsidR="003732C5">
        <w:rPr>
          <w:rFonts w:ascii="Arial" w:hAnsi="Arial" w:cs="Arial"/>
          <w:sz w:val="24"/>
          <w:szCs w:val="24"/>
        </w:rPr>
        <w:t>s A, B, C</w:t>
      </w:r>
    </w:p>
    <w:p w14:paraId="2BA3D366" w14:textId="46F1CCBE" w:rsidR="003732C5" w:rsidRDefault="003732C5" w:rsidP="003E331B">
      <w:pPr>
        <w:jc w:val="both"/>
        <w:rPr>
          <w:rFonts w:ascii="Arial" w:hAnsi="Arial" w:cs="Arial"/>
          <w:sz w:val="24"/>
          <w:szCs w:val="24"/>
        </w:rPr>
      </w:pPr>
    </w:p>
    <w:p w14:paraId="454862F3" w14:textId="77777777" w:rsidR="003732C5" w:rsidRPr="003E331B" w:rsidRDefault="003732C5" w:rsidP="003E331B">
      <w:pPr>
        <w:jc w:val="both"/>
        <w:rPr>
          <w:rFonts w:ascii="Arial" w:hAnsi="Arial" w:cs="Arial"/>
          <w:sz w:val="24"/>
          <w:szCs w:val="24"/>
        </w:rPr>
      </w:pPr>
    </w:p>
    <w:p w14:paraId="5EF7DD5A" w14:textId="76B63365" w:rsidR="006441F0" w:rsidRPr="003E331B" w:rsidRDefault="006441F0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noProof/>
          <w:sz w:val="24"/>
          <w:szCs w:val="24"/>
          <w:lang w:val="es-CO" w:eastAsia="es-CO"/>
        </w:rPr>
        <w:drawing>
          <wp:inline distT="0" distB="0" distL="0" distR="0" wp14:anchorId="46DE9849" wp14:editId="137FDC4C">
            <wp:extent cx="5743575" cy="1905000"/>
            <wp:effectExtent l="0" t="0" r="9525" b="0"/>
            <wp:docPr id="2" name="Imagen 2" descr="MANEJO DE EXTINTORES Y CONTROL DE INCENDIOS - instamariless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NEJO DE EXTINTORES Y CONTROL DE INCENDIOS - instamariless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5DC69" w14:textId="0508DA86" w:rsidR="006441F0" w:rsidRDefault="006441F0" w:rsidP="003E331B">
      <w:pPr>
        <w:jc w:val="both"/>
        <w:rPr>
          <w:rFonts w:ascii="Arial" w:hAnsi="Arial" w:cs="Arial"/>
          <w:sz w:val="24"/>
          <w:szCs w:val="24"/>
        </w:rPr>
      </w:pPr>
    </w:p>
    <w:p w14:paraId="3FB3FCC7" w14:textId="77777777" w:rsidR="003732C5" w:rsidRPr="003E331B" w:rsidRDefault="003732C5" w:rsidP="003E331B">
      <w:pPr>
        <w:jc w:val="both"/>
        <w:rPr>
          <w:rFonts w:ascii="Arial" w:hAnsi="Arial" w:cs="Arial"/>
          <w:sz w:val="24"/>
          <w:szCs w:val="24"/>
        </w:rPr>
      </w:pPr>
    </w:p>
    <w:p w14:paraId="2651EBEB" w14:textId="1F8A48B5" w:rsidR="00EF7809" w:rsidRPr="003E331B" w:rsidRDefault="006441F0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 xml:space="preserve">Se debe contar con personal </w:t>
      </w:r>
      <w:r w:rsidR="003E331B" w:rsidRPr="003E331B">
        <w:rPr>
          <w:rFonts w:ascii="Arial" w:hAnsi="Arial" w:cs="Arial"/>
          <w:sz w:val="24"/>
          <w:szCs w:val="24"/>
        </w:rPr>
        <w:t>capacitado</w:t>
      </w:r>
      <w:r w:rsidR="003732C5">
        <w:rPr>
          <w:rFonts w:ascii="Arial" w:hAnsi="Arial" w:cs="Arial"/>
          <w:sz w:val="24"/>
          <w:szCs w:val="24"/>
        </w:rPr>
        <w:t xml:space="preserve"> o </w:t>
      </w:r>
      <w:proofErr w:type="gramStart"/>
      <w:r w:rsidR="003732C5">
        <w:rPr>
          <w:rFonts w:ascii="Arial" w:hAnsi="Arial" w:cs="Arial"/>
          <w:sz w:val="24"/>
          <w:szCs w:val="24"/>
        </w:rPr>
        <w:t xml:space="preserve">afines </w:t>
      </w:r>
      <w:r w:rsidR="003E331B" w:rsidRPr="003E331B">
        <w:rPr>
          <w:rFonts w:ascii="Arial" w:hAnsi="Arial" w:cs="Arial"/>
          <w:sz w:val="24"/>
          <w:szCs w:val="24"/>
        </w:rPr>
        <w:t xml:space="preserve"> para</w:t>
      </w:r>
      <w:proofErr w:type="gramEnd"/>
      <w:r w:rsidRPr="003E331B">
        <w:rPr>
          <w:rFonts w:ascii="Arial" w:hAnsi="Arial" w:cs="Arial"/>
          <w:sz w:val="24"/>
          <w:szCs w:val="24"/>
        </w:rPr>
        <w:t xml:space="preserve"> su insta</w:t>
      </w:r>
      <w:r w:rsidR="003732C5">
        <w:rPr>
          <w:rFonts w:ascii="Arial" w:hAnsi="Arial" w:cs="Arial"/>
          <w:sz w:val="24"/>
          <w:szCs w:val="24"/>
        </w:rPr>
        <w:t>la</w:t>
      </w:r>
      <w:r w:rsidRPr="003E331B">
        <w:rPr>
          <w:rFonts w:ascii="Arial" w:hAnsi="Arial" w:cs="Arial"/>
          <w:sz w:val="24"/>
          <w:szCs w:val="24"/>
        </w:rPr>
        <w:t>c</w:t>
      </w:r>
      <w:r w:rsidR="003732C5">
        <w:rPr>
          <w:rFonts w:ascii="Arial" w:hAnsi="Arial" w:cs="Arial"/>
          <w:sz w:val="24"/>
          <w:szCs w:val="24"/>
        </w:rPr>
        <w:t>ió</w:t>
      </w:r>
      <w:r w:rsidRPr="003E331B">
        <w:rPr>
          <w:rFonts w:ascii="Arial" w:hAnsi="Arial" w:cs="Arial"/>
          <w:sz w:val="24"/>
          <w:szCs w:val="24"/>
        </w:rPr>
        <w:t xml:space="preserve">n y manejo de equipo de gas propano si llega </w:t>
      </w:r>
      <w:proofErr w:type="spellStart"/>
      <w:r w:rsidRPr="003E331B">
        <w:rPr>
          <w:rFonts w:ascii="Arial" w:hAnsi="Arial" w:cs="Arial"/>
          <w:sz w:val="24"/>
          <w:szCs w:val="24"/>
        </w:rPr>
        <w:t>apresentar</w:t>
      </w:r>
      <w:proofErr w:type="spellEnd"/>
      <w:r w:rsidRPr="003E331B">
        <w:rPr>
          <w:rFonts w:ascii="Arial" w:hAnsi="Arial" w:cs="Arial"/>
          <w:sz w:val="24"/>
          <w:szCs w:val="24"/>
        </w:rPr>
        <w:t xml:space="preserve"> un conato de </w:t>
      </w:r>
      <w:r w:rsidR="003E331B" w:rsidRPr="003E331B">
        <w:rPr>
          <w:rFonts w:ascii="Arial" w:hAnsi="Arial" w:cs="Arial"/>
          <w:sz w:val="24"/>
          <w:szCs w:val="24"/>
        </w:rPr>
        <w:t>incendio,</w:t>
      </w:r>
      <w:r w:rsidRPr="003E331B">
        <w:rPr>
          <w:rFonts w:ascii="Arial" w:hAnsi="Arial" w:cs="Arial"/>
          <w:sz w:val="24"/>
          <w:szCs w:val="24"/>
        </w:rPr>
        <w:t xml:space="preserve"> </w:t>
      </w:r>
      <w:r w:rsidR="003E331B" w:rsidRPr="003E331B">
        <w:rPr>
          <w:rFonts w:ascii="Arial" w:hAnsi="Arial" w:cs="Arial"/>
          <w:sz w:val="24"/>
          <w:szCs w:val="24"/>
        </w:rPr>
        <w:t>línea</w:t>
      </w:r>
      <w:r w:rsidRPr="003E331B">
        <w:rPr>
          <w:rFonts w:ascii="Arial" w:hAnsi="Arial" w:cs="Arial"/>
          <w:sz w:val="24"/>
          <w:szCs w:val="24"/>
        </w:rPr>
        <w:t xml:space="preserve"> de </w:t>
      </w:r>
      <w:r w:rsidR="003E331B" w:rsidRPr="003E331B">
        <w:rPr>
          <w:rFonts w:ascii="Arial" w:hAnsi="Arial" w:cs="Arial"/>
          <w:sz w:val="24"/>
          <w:szCs w:val="24"/>
        </w:rPr>
        <w:t>emergencia 119/125/ 320 8532 940 bomberos Yopal cansare</w:t>
      </w:r>
    </w:p>
    <w:p w14:paraId="2328785D" w14:textId="77777777" w:rsidR="00EF7809" w:rsidRPr="003732C5" w:rsidRDefault="00EF7809" w:rsidP="003732C5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0BF112AC" w14:textId="77777777" w:rsidR="00EF7809" w:rsidRDefault="00EF7809" w:rsidP="003E331B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42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2"/>
        <w:gridCol w:w="1985"/>
        <w:gridCol w:w="2835"/>
        <w:gridCol w:w="2548"/>
      </w:tblGrid>
      <w:tr w:rsidR="00AB5FFD" w14:paraId="50357178" w14:textId="1D0C7FFD" w:rsidTr="00AB5FFD">
        <w:trPr>
          <w:trHeight w:val="1230"/>
        </w:trPr>
        <w:tc>
          <w:tcPr>
            <w:tcW w:w="2052" w:type="dxa"/>
          </w:tcPr>
          <w:p w14:paraId="2D4EEA27" w14:textId="77777777" w:rsidR="00AB5FFD" w:rsidRDefault="00AB5FFD" w:rsidP="00AB5FFD">
            <w:pPr>
              <w:ind w:left="35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779AC24" w14:textId="0E4AAAF4" w:rsidR="00AB5FFD" w:rsidRDefault="00AB5FFD" w:rsidP="00AB5F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Firma gerencia </w:t>
            </w:r>
          </w:p>
          <w:p w14:paraId="00FB9FFE" w14:textId="77777777" w:rsidR="00AB5FFD" w:rsidRDefault="00AB5FFD" w:rsidP="00AB5FFD">
            <w:pPr>
              <w:ind w:left="35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E41FA5F" w14:textId="77777777" w:rsidR="00AB5FFD" w:rsidRDefault="00AB5FFD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A03C9C" w14:textId="0FF80762" w:rsidR="00AB5FFD" w:rsidRDefault="00AB5FFD" w:rsidP="00AB5FFD">
            <w:pPr>
              <w:ind w:left="3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Firma HSQ</w:t>
            </w:r>
          </w:p>
        </w:tc>
        <w:tc>
          <w:tcPr>
            <w:tcW w:w="2835" w:type="dxa"/>
          </w:tcPr>
          <w:p w14:paraId="68408049" w14:textId="77777777" w:rsidR="00AB5FFD" w:rsidRDefault="00AB5FF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DA6EF8B" w14:textId="76B3E850" w:rsidR="00AB5FFD" w:rsidRDefault="00AB5FFD" w:rsidP="00AB5FFD">
            <w:pPr>
              <w:ind w:left="3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Firma administradora</w:t>
            </w:r>
          </w:p>
        </w:tc>
        <w:tc>
          <w:tcPr>
            <w:tcW w:w="2548" w:type="dxa"/>
          </w:tcPr>
          <w:p w14:paraId="4DFFB25B" w14:textId="77777777" w:rsidR="00AB5FFD" w:rsidRDefault="00AB5FF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396DF43" w14:textId="5D09D75D" w:rsidR="00AB5FFD" w:rsidRDefault="00AB5FFD" w:rsidP="00AB5FFD">
            <w:pPr>
              <w:ind w:left="3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Firma coordinador</w:t>
            </w:r>
          </w:p>
        </w:tc>
      </w:tr>
    </w:tbl>
    <w:p w14:paraId="00B3E1F8" w14:textId="77777777" w:rsidR="000A4088" w:rsidRDefault="000A4088" w:rsidP="000A4088">
      <w:pPr>
        <w:rPr>
          <w:rFonts w:ascii="Arial" w:hAnsi="Arial" w:cs="Arial"/>
          <w:sz w:val="24"/>
          <w:szCs w:val="24"/>
        </w:rPr>
      </w:pPr>
    </w:p>
    <w:p w14:paraId="3164A890" w14:textId="77777777" w:rsidR="000A4088" w:rsidRDefault="000A4088" w:rsidP="000A4088">
      <w:pPr>
        <w:rPr>
          <w:rFonts w:ascii="Arial" w:hAnsi="Arial" w:cs="Arial"/>
          <w:sz w:val="24"/>
          <w:szCs w:val="24"/>
        </w:rPr>
      </w:pPr>
    </w:p>
    <w:p w14:paraId="4C52234F" w14:textId="77777777" w:rsidR="000A4088" w:rsidRPr="000A4088" w:rsidRDefault="000A4088" w:rsidP="000A4088">
      <w:pPr>
        <w:rPr>
          <w:rFonts w:ascii="Arial" w:hAnsi="Arial" w:cs="Arial"/>
          <w:sz w:val="24"/>
          <w:szCs w:val="24"/>
        </w:rPr>
      </w:pPr>
    </w:p>
    <w:sectPr w:rsidR="000A4088" w:rsidRPr="000A4088" w:rsidSect="00933515">
      <w:headerReference w:type="default" r:id="rId9"/>
      <w:footerReference w:type="default" r:id="rId10"/>
      <w:pgSz w:w="11906" w:h="16838"/>
      <w:pgMar w:top="1417" w:right="1701" w:bottom="1417" w:left="1701" w:header="708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FD7FD" w14:textId="77777777" w:rsidR="00E756AB" w:rsidRDefault="00E756AB" w:rsidP="00933515">
      <w:r>
        <w:separator/>
      </w:r>
    </w:p>
  </w:endnote>
  <w:endnote w:type="continuationSeparator" w:id="0">
    <w:p w14:paraId="3CEF9251" w14:textId="77777777" w:rsidR="00E756AB" w:rsidRDefault="00E756AB" w:rsidP="00933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7B174" w14:textId="77777777" w:rsidR="00933515" w:rsidRDefault="00933515" w:rsidP="00933515">
    <w:pPr>
      <w:jc w:val="center"/>
      <w:rPr>
        <w:rFonts w:ascii="Arial" w:hAnsi="Arial" w:cs="Arial"/>
      </w:rPr>
    </w:pPr>
    <w:r>
      <w:rPr>
        <w:rFonts w:ascii="Arial" w:hAnsi="Arial" w:cs="Arial"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5BEA53" wp14:editId="39941B01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5120640" cy="0"/>
              <wp:effectExtent l="0" t="0" r="22860" b="1905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2064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F39C6DE" id="Conector recto 5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420.1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" strokecolor="#70ad47 [3209]" strokeweight="1.5pt">
              <v:stroke joinstyle="miter"/>
            </v:line>
          </w:pict>
        </mc:Fallback>
      </mc:AlternateContent>
    </w:r>
  </w:p>
  <w:p w14:paraId="77BF5D98" w14:textId="5C3532DA" w:rsidR="00933515" w:rsidRPr="0073288E" w:rsidRDefault="00933515" w:rsidP="00933515">
    <w:pPr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 w:rsidRPr="00D5323B"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659264" behindDoc="1" locked="0" layoutInCell="1" allowOverlap="1" wp14:anchorId="092F7003" wp14:editId="01DCBCC6">
          <wp:simplePos x="0" y="0"/>
          <wp:positionH relativeFrom="column">
            <wp:posOffset>1539240</wp:posOffset>
          </wp:positionH>
          <wp:positionV relativeFrom="paragraph">
            <wp:posOffset>6350</wp:posOffset>
          </wp:positionV>
          <wp:extent cx="218466" cy="219062"/>
          <wp:effectExtent l="0" t="0" r="0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66" cy="219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62A4D731" w14:textId="04C5A7A8" w:rsidR="00933515" w:rsidRPr="00933515" w:rsidRDefault="00933515" w:rsidP="00933515">
    <w:pPr>
      <w:tabs>
        <w:tab w:val="center" w:pos="4550"/>
        <w:tab w:val="left" w:pos="5818"/>
      </w:tabs>
      <w:rPr>
        <w:color w:val="BF8F00" w:themeColor="accent4" w:themeShade="BF"/>
        <w:sz w:val="16"/>
        <w:szCs w:val="24"/>
      </w:rPr>
    </w:pPr>
    <w:r w:rsidRPr="00335C16">
      <w:rPr>
        <w:color w:val="BF8F00" w:themeColor="accent4" w:themeShade="BF"/>
        <w:spacing w:val="60"/>
        <w:sz w:val="16"/>
        <w:szCs w:val="24"/>
        <w:lang w:val="es-ES"/>
      </w:rPr>
      <w:t>Página</w:t>
    </w:r>
    <w:r w:rsidRPr="00335C16">
      <w:rPr>
        <w:color w:val="BF8F00" w:themeColor="accent4" w:themeShade="BF"/>
        <w:sz w:val="16"/>
        <w:szCs w:val="24"/>
        <w:lang w:val="es-ES"/>
      </w:rPr>
      <w:t xml:space="preserve">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PAGE 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904F0E" w:rsidRPr="00904F0E">
      <w:rPr>
        <w:noProof/>
        <w:color w:val="BF8F00" w:themeColor="accent4" w:themeShade="BF"/>
        <w:sz w:val="16"/>
        <w:szCs w:val="24"/>
        <w:lang w:val="es-ES"/>
      </w:rPr>
      <w:t>3</w:t>
    </w:r>
    <w:r w:rsidRPr="00335C16">
      <w:rPr>
        <w:color w:val="BF8F00" w:themeColor="accent4" w:themeShade="BF"/>
        <w:sz w:val="16"/>
        <w:szCs w:val="24"/>
      </w:rPr>
      <w:fldChar w:fldCharType="end"/>
    </w:r>
    <w:r w:rsidRPr="00335C16">
      <w:rPr>
        <w:color w:val="BF8F00" w:themeColor="accent4" w:themeShade="BF"/>
        <w:sz w:val="16"/>
        <w:szCs w:val="24"/>
        <w:lang w:val="es-ES"/>
      </w:rPr>
      <w:t xml:space="preserve"> |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NUMPAGES  \* Arabic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904F0E" w:rsidRPr="00904F0E">
      <w:rPr>
        <w:noProof/>
        <w:color w:val="BF8F00" w:themeColor="accent4" w:themeShade="BF"/>
        <w:sz w:val="16"/>
        <w:szCs w:val="24"/>
        <w:lang w:val="es-ES"/>
      </w:rPr>
      <w:t>3</w:t>
    </w:r>
    <w:r w:rsidRPr="00335C16">
      <w:rPr>
        <w:color w:val="BF8F00" w:themeColor="accent4" w:themeShade="BF"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23DA5" w14:textId="77777777" w:rsidR="00E756AB" w:rsidRDefault="00E756AB" w:rsidP="00933515">
      <w:r>
        <w:separator/>
      </w:r>
    </w:p>
  </w:footnote>
  <w:footnote w:type="continuationSeparator" w:id="0">
    <w:p w14:paraId="6440E164" w14:textId="77777777" w:rsidR="00E756AB" w:rsidRDefault="00E756AB" w:rsidP="009335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212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94"/>
      <w:gridCol w:w="2276"/>
      <w:gridCol w:w="1848"/>
      <w:gridCol w:w="1162"/>
      <w:gridCol w:w="1474"/>
    </w:tblGrid>
    <w:tr w:rsidR="00E80557" w:rsidRPr="00E25B24" w14:paraId="3296D94F" w14:textId="77777777" w:rsidTr="00607BDC">
      <w:trPr>
        <w:trHeight w:val="1180"/>
        <w:jc w:val="center"/>
      </w:trPr>
      <w:tc>
        <w:tcPr>
          <w:tcW w:w="2430" w:type="dxa"/>
          <w:vMerge w:val="restart"/>
          <w:shd w:val="clear" w:color="auto" w:fill="auto"/>
        </w:tcPr>
        <w:p w14:paraId="06AEC0A8" w14:textId="77777777" w:rsidR="00E80557" w:rsidRPr="00E25B24" w:rsidRDefault="00E80557" w:rsidP="00E80557">
          <w:pPr>
            <w:pStyle w:val="Encabezado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20BD8B31" wp14:editId="22918A81">
                <wp:simplePos x="0" y="0"/>
                <wp:positionH relativeFrom="column">
                  <wp:posOffset>-15484</wp:posOffset>
                </wp:positionH>
                <wp:positionV relativeFrom="paragraph">
                  <wp:posOffset>197729</wp:posOffset>
                </wp:positionV>
                <wp:extent cx="1292469" cy="697629"/>
                <wp:effectExtent l="0" t="0" r="3175" b="7620"/>
                <wp:wrapNone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3075" cy="7087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34" w:type="dxa"/>
          <w:gridSpan w:val="2"/>
          <w:shd w:val="clear" w:color="auto" w:fill="auto"/>
        </w:tcPr>
        <w:p w14:paraId="7921A6DF" w14:textId="77777777" w:rsidR="00E80557" w:rsidRDefault="00E80557" w:rsidP="00E80557">
          <w:pPr>
            <w:pStyle w:val="Encabezado"/>
            <w:jc w:val="center"/>
            <w:rPr>
              <w:b/>
              <w:sz w:val="24"/>
            </w:rPr>
          </w:pPr>
        </w:p>
        <w:p w14:paraId="1B0BC1E9" w14:textId="5751CF78" w:rsidR="00E80557" w:rsidRPr="00E25B24" w:rsidRDefault="00E80557" w:rsidP="00E80557">
          <w:pPr>
            <w:pStyle w:val="Encabezado"/>
            <w:jc w:val="center"/>
          </w:pPr>
          <w:r>
            <w:rPr>
              <w:b/>
              <w:sz w:val="28"/>
            </w:rPr>
            <w:t>PLAN</w:t>
          </w:r>
          <w:r>
            <w:rPr>
              <w:b/>
              <w:sz w:val="28"/>
            </w:rPr>
            <w:t xml:space="preserve"> DE CONMTINGENCIAS</w:t>
          </w:r>
        </w:p>
      </w:tc>
      <w:tc>
        <w:tcPr>
          <w:tcW w:w="1226" w:type="dxa"/>
          <w:vMerge w:val="restart"/>
          <w:shd w:val="clear" w:color="auto" w:fill="auto"/>
        </w:tcPr>
        <w:p w14:paraId="2D1AB5BA" w14:textId="77777777" w:rsidR="00E80557" w:rsidRDefault="00E80557" w:rsidP="00E80557">
          <w:pPr>
            <w:pStyle w:val="Encabezado"/>
            <w:jc w:val="center"/>
            <w:rPr>
              <w:sz w:val="18"/>
            </w:rPr>
          </w:pPr>
        </w:p>
        <w:p w14:paraId="74BA6F3E" w14:textId="77777777" w:rsidR="00E80557" w:rsidRDefault="00E80557" w:rsidP="00E80557">
          <w:pPr>
            <w:pStyle w:val="Encabezado"/>
            <w:jc w:val="center"/>
          </w:pPr>
        </w:p>
        <w:p w14:paraId="2F4A9316" w14:textId="6FB553B7" w:rsidR="00E80557" w:rsidRPr="003A2410" w:rsidRDefault="00E80557" w:rsidP="00E80557">
          <w:pPr>
            <w:pStyle w:val="Encabezado"/>
            <w:jc w:val="center"/>
          </w:pPr>
          <w:r w:rsidRPr="0061287E">
            <w:rPr>
              <w:sz w:val="18"/>
              <w:szCs w:val="16"/>
            </w:rPr>
            <w:t xml:space="preserve">CODIGO: </w:t>
          </w:r>
          <w:r w:rsidRPr="00486B19">
            <w:rPr>
              <w:sz w:val="18"/>
              <w:szCs w:val="16"/>
            </w:rPr>
            <w:t xml:space="preserve">SGI- </w:t>
          </w:r>
          <w:r>
            <w:rPr>
              <w:sz w:val="18"/>
              <w:szCs w:val="16"/>
            </w:rPr>
            <w:t>SSTQ</w:t>
          </w:r>
          <w:r w:rsidRPr="00486B19">
            <w:rPr>
              <w:sz w:val="18"/>
              <w:szCs w:val="16"/>
            </w:rPr>
            <w:t>-</w:t>
          </w:r>
          <w:r>
            <w:rPr>
              <w:sz w:val="18"/>
              <w:szCs w:val="16"/>
            </w:rPr>
            <w:t>PLA</w:t>
          </w:r>
          <w:r w:rsidRPr="00486B19">
            <w:rPr>
              <w:sz w:val="18"/>
              <w:szCs w:val="16"/>
            </w:rPr>
            <w:t>- 00</w:t>
          </w:r>
          <w:r>
            <w:rPr>
              <w:sz w:val="18"/>
              <w:szCs w:val="16"/>
            </w:rPr>
            <w:t>3</w:t>
          </w:r>
        </w:p>
      </w:tc>
      <w:tc>
        <w:tcPr>
          <w:tcW w:w="1703" w:type="dxa"/>
          <w:vMerge w:val="restart"/>
        </w:tcPr>
        <w:p w14:paraId="5AF98CAE" w14:textId="77777777" w:rsidR="00E80557" w:rsidRDefault="00E80557" w:rsidP="00E80557">
          <w:pPr>
            <w:pStyle w:val="Encabezado"/>
            <w:jc w:val="center"/>
            <w:rPr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447B3714" wp14:editId="45FCC74B">
                <wp:simplePos x="0" y="0"/>
                <wp:positionH relativeFrom="column">
                  <wp:posOffset>16071</wp:posOffset>
                </wp:positionH>
                <wp:positionV relativeFrom="paragraph">
                  <wp:posOffset>134767</wp:posOffset>
                </wp:positionV>
                <wp:extent cx="905608" cy="833755"/>
                <wp:effectExtent l="0" t="0" r="8890" b="4445"/>
                <wp:wrapNone/>
                <wp:docPr id="1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A986720-8140-4616-8F2E-A152A3C0C8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FA986720-8140-4616-8F2E-A152A3C0C8C2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8" t="4762" r="45331" b="11255"/>
                        <a:stretch/>
                      </pic:blipFill>
                      <pic:spPr bwMode="auto">
                        <a:xfrm>
                          <a:off x="0" y="0"/>
                          <a:ext cx="908206" cy="83614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E80557" w:rsidRPr="00E25B24" w14:paraId="17C5F7BB" w14:textId="77777777" w:rsidTr="00607BDC">
      <w:tblPrEx>
        <w:tblCellMar>
          <w:left w:w="108" w:type="dxa"/>
          <w:right w:w="108" w:type="dxa"/>
        </w:tblCellMar>
      </w:tblPrEx>
      <w:trPr>
        <w:trHeight w:val="674"/>
        <w:jc w:val="center"/>
      </w:trPr>
      <w:tc>
        <w:tcPr>
          <w:tcW w:w="2430" w:type="dxa"/>
          <w:vMerge/>
          <w:shd w:val="clear" w:color="auto" w:fill="auto"/>
        </w:tcPr>
        <w:p w14:paraId="601B8D54" w14:textId="77777777" w:rsidR="00E80557" w:rsidRPr="00E25B24" w:rsidRDefault="00E80557" w:rsidP="00E80557">
          <w:pPr>
            <w:pStyle w:val="Encabezado"/>
          </w:pPr>
        </w:p>
      </w:tc>
      <w:tc>
        <w:tcPr>
          <w:tcW w:w="2445" w:type="dxa"/>
          <w:shd w:val="clear" w:color="auto" w:fill="auto"/>
        </w:tcPr>
        <w:p w14:paraId="1C09C35B" w14:textId="77777777" w:rsidR="00E80557" w:rsidRDefault="00E80557" w:rsidP="00E80557">
          <w:pPr>
            <w:pStyle w:val="Encabezado"/>
            <w:jc w:val="center"/>
            <w:rPr>
              <w:sz w:val="18"/>
            </w:rPr>
          </w:pPr>
        </w:p>
        <w:p w14:paraId="3D984CDB" w14:textId="77777777" w:rsidR="00E80557" w:rsidRPr="00E25B24" w:rsidRDefault="00E80557" w:rsidP="00E80557">
          <w:pPr>
            <w:pStyle w:val="Encabezado"/>
            <w:jc w:val="center"/>
            <w:rPr>
              <w:sz w:val="18"/>
            </w:rPr>
          </w:pPr>
          <w:r w:rsidRPr="003A2410">
            <w:rPr>
              <w:sz w:val="18"/>
            </w:rPr>
            <w:t>VERSION: 00</w:t>
          </w:r>
          <w:r>
            <w:rPr>
              <w:sz w:val="18"/>
            </w:rPr>
            <w:t>1</w:t>
          </w:r>
        </w:p>
      </w:tc>
      <w:tc>
        <w:tcPr>
          <w:tcW w:w="1989" w:type="dxa"/>
          <w:shd w:val="clear" w:color="auto" w:fill="auto"/>
        </w:tcPr>
        <w:p w14:paraId="16C93C63" w14:textId="77777777" w:rsidR="00E80557" w:rsidRDefault="00E80557" w:rsidP="00E80557">
          <w:pPr>
            <w:pStyle w:val="Encabezado"/>
            <w:jc w:val="center"/>
            <w:rPr>
              <w:sz w:val="18"/>
            </w:rPr>
          </w:pPr>
        </w:p>
        <w:p w14:paraId="411E58BD" w14:textId="77777777" w:rsidR="00E80557" w:rsidRPr="00E25B24" w:rsidRDefault="00E80557" w:rsidP="00E80557">
          <w:pPr>
            <w:pStyle w:val="Encabezado"/>
            <w:jc w:val="center"/>
            <w:rPr>
              <w:sz w:val="18"/>
            </w:rPr>
          </w:pPr>
          <w:r w:rsidRPr="003A2410">
            <w:rPr>
              <w:sz w:val="18"/>
            </w:rPr>
            <w:t xml:space="preserve">FECHA: </w:t>
          </w:r>
          <w:r>
            <w:rPr>
              <w:sz w:val="18"/>
            </w:rPr>
            <w:t>AGOSTO</w:t>
          </w:r>
          <w:r w:rsidRPr="003A2410">
            <w:rPr>
              <w:sz w:val="18"/>
            </w:rPr>
            <w:t xml:space="preserve"> 202</w:t>
          </w:r>
          <w:r>
            <w:rPr>
              <w:sz w:val="18"/>
            </w:rPr>
            <w:t>2</w:t>
          </w:r>
        </w:p>
      </w:tc>
      <w:tc>
        <w:tcPr>
          <w:tcW w:w="1226" w:type="dxa"/>
          <w:vMerge/>
          <w:shd w:val="clear" w:color="auto" w:fill="auto"/>
        </w:tcPr>
        <w:p w14:paraId="443F1C08" w14:textId="77777777" w:rsidR="00E80557" w:rsidRPr="00E25B24" w:rsidRDefault="00E80557" w:rsidP="00E80557">
          <w:pPr>
            <w:pStyle w:val="Encabezado"/>
            <w:jc w:val="center"/>
            <w:rPr>
              <w:sz w:val="18"/>
            </w:rPr>
          </w:pPr>
        </w:p>
      </w:tc>
      <w:tc>
        <w:tcPr>
          <w:tcW w:w="1703" w:type="dxa"/>
          <w:vMerge/>
        </w:tcPr>
        <w:p w14:paraId="442342C9" w14:textId="77777777" w:rsidR="00E80557" w:rsidRPr="00E25B24" w:rsidRDefault="00E80557" w:rsidP="00E80557">
          <w:pPr>
            <w:pStyle w:val="Encabezado"/>
            <w:jc w:val="center"/>
            <w:rPr>
              <w:sz w:val="18"/>
            </w:rPr>
          </w:pPr>
        </w:p>
      </w:tc>
    </w:tr>
  </w:tbl>
  <w:p w14:paraId="093F33AC" w14:textId="7EE066FA" w:rsidR="00933515" w:rsidRDefault="00933515">
    <w:pPr>
      <w:pStyle w:val="Encabezado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C7B35"/>
    <w:multiLevelType w:val="hybridMultilevel"/>
    <w:tmpl w:val="10001A04"/>
    <w:lvl w:ilvl="0" w:tplc="A8CAD2B6">
      <w:start w:val="5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125" w:hanging="360"/>
      </w:pPr>
    </w:lvl>
    <w:lvl w:ilvl="2" w:tplc="580A001B" w:tentative="1">
      <w:start w:val="1"/>
      <w:numFmt w:val="lowerRoman"/>
      <w:lvlText w:val="%3."/>
      <w:lvlJc w:val="right"/>
      <w:pPr>
        <w:ind w:left="1845" w:hanging="180"/>
      </w:pPr>
    </w:lvl>
    <w:lvl w:ilvl="3" w:tplc="580A000F" w:tentative="1">
      <w:start w:val="1"/>
      <w:numFmt w:val="decimal"/>
      <w:lvlText w:val="%4."/>
      <w:lvlJc w:val="left"/>
      <w:pPr>
        <w:ind w:left="2565" w:hanging="360"/>
      </w:pPr>
    </w:lvl>
    <w:lvl w:ilvl="4" w:tplc="580A0019" w:tentative="1">
      <w:start w:val="1"/>
      <w:numFmt w:val="lowerLetter"/>
      <w:lvlText w:val="%5."/>
      <w:lvlJc w:val="left"/>
      <w:pPr>
        <w:ind w:left="3285" w:hanging="360"/>
      </w:pPr>
    </w:lvl>
    <w:lvl w:ilvl="5" w:tplc="580A001B" w:tentative="1">
      <w:start w:val="1"/>
      <w:numFmt w:val="lowerRoman"/>
      <w:lvlText w:val="%6."/>
      <w:lvlJc w:val="right"/>
      <w:pPr>
        <w:ind w:left="4005" w:hanging="180"/>
      </w:pPr>
    </w:lvl>
    <w:lvl w:ilvl="6" w:tplc="580A000F" w:tentative="1">
      <w:start w:val="1"/>
      <w:numFmt w:val="decimal"/>
      <w:lvlText w:val="%7."/>
      <w:lvlJc w:val="left"/>
      <w:pPr>
        <w:ind w:left="4725" w:hanging="360"/>
      </w:pPr>
    </w:lvl>
    <w:lvl w:ilvl="7" w:tplc="580A0019" w:tentative="1">
      <w:start w:val="1"/>
      <w:numFmt w:val="lowerLetter"/>
      <w:lvlText w:val="%8."/>
      <w:lvlJc w:val="left"/>
      <w:pPr>
        <w:ind w:left="5445" w:hanging="360"/>
      </w:pPr>
    </w:lvl>
    <w:lvl w:ilvl="8" w:tplc="58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4F2239A"/>
    <w:multiLevelType w:val="hybridMultilevel"/>
    <w:tmpl w:val="1BB43CB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1054EB"/>
    <w:multiLevelType w:val="hybridMultilevel"/>
    <w:tmpl w:val="E3E463D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46096"/>
    <w:multiLevelType w:val="hybridMultilevel"/>
    <w:tmpl w:val="34C839AA"/>
    <w:lvl w:ilvl="0" w:tplc="5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1671F41"/>
    <w:multiLevelType w:val="hybridMultilevel"/>
    <w:tmpl w:val="8DB24E3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830E15"/>
    <w:multiLevelType w:val="hybridMultilevel"/>
    <w:tmpl w:val="B5DC43F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E722C2"/>
    <w:multiLevelType w:val="hybridMultilevel"/>
    <w:tmpl w:val="186AF34C"/>
    <w:lvl w:ilvl="0" w:tplc="B07E704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125" w:hanging="360"/>
      </w:pPr>
    </w:lvl>
    <w:lvl w:ilvl="2" w:tplc="580A001B" w:tentative="1">
      <w:start w:val="1"/>
      <w:numFmt w:val="lowerRoman"/>
      <w:lvlText w:val="%3."/>
      <w:lvlJc w:val="right"/>
      <w:pPr>
        <w:ind w:left="1845" w:hanging="180"/>
      </w:pPr>
    </w:lvl>
    <w:lvl w:ilvl="3" w:tplc="580A000F" w:tentative="1">
      <w:start w:val="1"/>
      <w:numFmt w:val="decimal"/>
      <w:lvlText w:val="%4."/>
      <w:lvlJc w:val="left"/>
      <w:pPr>
        <w:ind w:left="2565" w:hanging="360"/>
      </w:pPr>
    </w:lvl>
    <w:lvl w:ilvl="4" w:tplc="580A0019" w:tentative="1">
      <w:start w:val="1"/>
      <w:numFmt w:val="lowerLetter"/>
      <w:lvlText w:val="%5."/>
      <w:lvlJc w:val="left"/>
      <w:pPr>
        <w:ind w:left="3285" w:hanging="360"/>
      </w:pPr>
    </w:lvl>
    <w:lvl w:ilvl="5" w:tplc="580A001B" w:tentative="1">
      <w:start w:val="1"/>
      <w:numFmt w:val="lowerRoman"/>
      <w:lvlText w:val="%6."/>
      <w:lvlJc w:val="right"/>
      <w:pPr>
        <w:ind w:left="4005" w:hanging="180"/>
      </w:pPr>
    </w:lvl>
    <w:lvl w:ilvl="6" w:tplc="580A000F" w:tentative="1">
      <w:start w:val="1"/>
      <w:numFmt w:val="decimal"/>
      <w:lvlText w:val="%7."/>
      <w:lvlJc w:val="left"/>
      <w:pPr>
        <w:ind w:left="4725" w:hanging="360"/>
      </w:pPr>
    </w:lvl>
    <w:lvl w:ilvl="7" w:tplc="580A0019" w:tentative="1">
      <w:start w:val="1"/>
      <w:numFmt w:val="lowerLetter"/>
      <w:lvlText w:val="%8."/>
      <w:lvlJc w:val="left"/>
      <w:pPr>
        <w:ind w:left="5445" w:hanging="360"/>
      </w:pPr>
    </w:lvl>
    <w:lvl w:ilvl="8" w:tplc="580A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F19"/>
    <w:rsid w:val="000A4088"/>
    <w:rsid w:val="000D567A"/>
    <w:rsid w:val="00246CF0"/>
    <w:rsid w:val="003732C5"/>
    <w:rsid w:val="003A3F35"/>
    <w:rsid w:val="003E331B"/>
    <w:rsid w:val="003F7149"/>
    <w:rsid w:val="006441F0"/>
    <w:rsid w:val="007E7F19"/>
    <w:rsid w:val="00803DEE"/>
    <w:rsid w:val="00904F0E"/>
    <w:rsid w:val="00933515"/>
    <w:rsid w:val="00A10DE2"/>
    <w:rsid w:val="00AB5FFD"/>
    <w:rsid w:val="00AB789B"/>
    <w:rsid w:val="00B54295"/>
    <w:rsid w:val="00BA286F"/>
    <w:rsid w:val="00BE4B57"/>
    <w:rsid w:val="00E756AB"/>
    <w:rsid w:val="00E80557"/>
    <w:rsid w:val="00EC4CA9"/>
    <w:rsid w:val="00EF7809"/>
    <w:rsid w:val="00F62978"/>
    <w:rsid w:val="00FE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E53253"/>
  <w15:chartTrackingRefBased/>
  <w15:docId w15:val="{E3B8368D-73FA-435A-A759-0164D4E5B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E7F19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93351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933515"/>
  </w:style>
  <w:style w:type="paragraph" w:styleId="Piedepgina">
    <w:name w:val="footer"/>
    <w:basedOn w:val="Normal"/>
    <w:link w:val="PiedepginaCar"/>
    <w:uiPriority w:val="99"/>
    <w:unhideWhenUsed/>
    <w:rsid w:val="0093351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33515"/>
  </w:style>
  <w:style w:type="table" w:styleId="Tablaconcuadrcula">
    <w:name w:val="Table Grid"/>
    <w:basedOn w:val="Tablanormal"/>
    <w:uiPriority w:val="59"/>
    <w:rsid w:val="00933515"/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335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709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Silva</dc:creator>
  <cp:keywords/>
  <dc:description/>
  <cp:lastModifiedBy>Diana</cp:lastModifiedBy>
  <cp:revision>7</cp:revision>
  <dcterms:created xsi:type="dcterms:W3CDTF">2021-05-27T00:28:00Z</dcterms:created>
  <dcterms:modified xsi:type="dcterms:W3CDTF">2022-11-28T16:24:00Z</dcterms:modified>
</cp:coreProperties>
</file>